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B23" w:rsidRPr="00517B23" w:rsidRDefault="00517B23" w:rsidP="00517B23">
      <w:pPr>
        <w:spacing w:after="0" w:line="360" w:lineRule="auto"/>
        <w:jc w:val="center"/>
        <w:rPr>
          <w:rFonts w:asciiTheme="minorHAnsi" w:hAnsiTheme="minorHAnsi" w:cstheme="minorHAnsi"/>
          <w:b/>
          <w:sz w:val="28"/>
          <w:szCs w:val="28"/>
        </w:rPr>
      </w:pPr>
      <w:r w:rsidRPr="00517B23">
        <w:rPr>
          <w:rFonts w:asciiTheme="minorHAnsi" w:hAnsiTheme="minorHAnsi" w:cstheme="minorHAnsi"/>
          <w:b/>
          <w:sz w:val="28"/>
          <w:szCs w:val="28"/>
        </w:rPr>
        <w:t>PRACTICE NOTE SC GEN 21</w:t>
      </w:r>
    </w:p>
    <w:p w:rsidR="00D72D6B" w:rsidRDefault="00D72D6B" w:rsidP="00517B23">
      <w:pPr>
        <w:spacing w:after="0"/>
        <w:jc w:val="center"/>
        <w:rPr>
          <w:rFonts w:asciiTheme="minorHAnsi" w:hAnsiTheme="minorHAnsi" w:cstheme="minorHAnsi"/>
          <w:b/>
          <w:sz w:val="28"/>
          <w:szCs w:val="28"/>
        </w:rPr>
      </w:pPr>
      <w:r w:rsidRPr="00517B23">
        <w:rPr>
          <w:rFonts w:asciiTheme="minorHAnsi" w:hAnsiTheme="minorHAnsi" w:cstheme="minorHAnsi"/>
          <w:b/>
          <w:sz w:val="28"/>
          <w:szCs w:val="28"/>
        </w:rPr>
        <w:t>Interpreters in Civil Proceedings</w:t>
      </w:r>
    </w:p>
    <w:p w:rsidR="00517B23" w:rsidRPr="00517B23" w:rsidRDefault="00517B23" w:rsidP="00517B23">
      <w:pPr>
        <w:spacing w:after="0"/>
        <w:jc w:val="both"/>
        <w:rPr>
          <w:rFonts w:asciiTheme="minorHAnsi" w:hAnsiTheme="minorHAnsi" w:cstheme="minorHAnsi"/>
          <w:sz w:val="28"/>
          <w:szCs w:val="28"/>
        </w:rPr>
      </w:pPr>
    </w:p>
    <w:p w:rsidR="00D72D6B" w:rsidRPr="00517B23" w:rsidRDefault="00D72D6B" w:rsidP="00517B23">
      <w:pPr>
        <w:spacing w:after="240"/>
        <w:jc w:val="both"/>
        <w:rPr>
          <w:rFonts w:asciiTheme="minorHAnsi" w:hAnsiTheme="minorHAnsi" w:cstheme="minorHAnsi"/>
          <w:b/>
        </w:rPr>
      </w:pPr>
      <w:r w:rsidRPr="00517B23">
        <w:rPr>
          <w:rFonts w:asciiTheme="minorHAnsi" w:hAnsiTheme="minorHAnsi" w:cstheme="minorHAnsi"/>
          <w:b/>
        </w:rPr>
        <w:t>Commencement</w:t>
      </w:r>
    </w:p>
    <w:p w:rsidR="00D72D6B" w:rsidRPr="00517B23" w:rsidRDefault="00D72D6B" w:rsidP="00325E29">
      <w:pPr>
        <w:spacing w:after="240"/>
        <w:ind w:left="720" w:hanging="720"/>
        <w:jc w:val="both"/>
        <w:rPr>
          <w:rFonts w:asciiTheme="minorHAnsi" w:hAnsiTheme="minorHAnsi" w:cstheme="minorHAnsi"/>
        </w:rPr>
      </w:pPr>
      <w:r w:rsidRPr="00517B23">
        <w:rPr>
          <w:rFonts w:asciiTheme="minorHAnsi" w:hAnsiTheme="minorHAnsi" w:cstheme="minorHAnsi"/>
        </w:rPr>
        <w:t>1.</w:t>
      </w:r>
      <w:r w:rsidRPr="00517B23">
        <w:rPr>
          <w:rFonts w:asciiTheme="minorHAnsi" w:hAnsiTheme="minorHAnsi" w:cstheme="minorHAnsi"/>
        </w:rPr>
        <w:tab/>
        <w:t>This Practice Note was issued on</w:t>
      </w:r>
      <w:r w:rsidR="00325E29">
        <w:rPr>
          <w:rFonts w:asciiTheme="minorHAnsi" w:hAnsiTheme="minorHAnsi" w:cstheme="minorHAnsi"/>
        </w:rPr>
        <w:t xml:space="preserve"> </w:t>
      </w:r>
      <w:r w:rsidR="0088323B">
        <w:rPr>
          <w:rFonts w:asciiTheme="minorHAnsi" w:hAnsiTheme="minorHAnsi" w:cstheme="minorHAnsi"/>
        </w:rPr>
        <w:t xml:space="preserve">4 March </w:t>
      </w:r>
      <w:r w:rsidR="00325E29">
        <w:rPr>
          <w:rFonts w:asciiTheme="minorHAnsi" w:hAnsiTheme="minorHAnsi" w:cstheme="minorHAnsi"/>
        </w:rPr>
        <w:t>2020</w:t>
      </w:r>
      <w:r w:rsidRPr="00517B23">
        <w:rPr>
          <w:rFonts w:asciiTheme="minorHAnsi" w:hAnsiTheme="minorHAnsi" w:cstheme="minorHAnsi"/>
        </w:rPr>
        <w:t xml:space="preserve"> and commences on </w:t>
      </w:r>
      <w:r w:rsidR="0088323B">
        <w:rPr>
          <w:rFonts w:asciiTheme="minorHAnsi" w:hAnsiTheme="minorHAnsi" w:cstheme="minorHAnsi"/>
        </w:rPr>
        <w:t>4 March</w:t>
      </w:r>
      <w:r w:rsidR="00325E29">
        <w:rPr>
          <w:rFonts w:asciiTheme="minorHAnsi" w:hAnsiTheme="minorHAnsi" w:cstheme="minorHAnsi"/>
        </w:rPr>
        <w:t xml:space="preserve"> 2020</w:t>
      </w:r>
      <w:r w:rsidRPr="00517B23">
        <w:rPr>
          <w:rFonts w:asciiTheme="minorHAnsi" w:hAnsiTheme="minorHAnsi" w:cstheme="minorHAnsi"/>
        </w:rPr>
        <w:t>.</w:t>
      </w:r>
    </w:p>
    <w:p w:rsidR="00D72D6B" w:rsidRPr="00517B23" w:rsidRDefault="00D72D6B" w:rsidP="00517B23">
      <w:pPr>
        <w:spacing w:after="240"/>
        <w:jc w:val="both"/>
        <w:rPr>
          <w:rFonts w:asciiTheme="minorHAnsi" w:hAnsiTheme="minorHAnsi" w:cstheme="minorHAnsi"/>
          <w:b/>
        </w:rPr>
      </w:pPr>
      <w:r w:rsidRPr="00517B23">
        <w:rPr>
          <w:rFonts w:asciiTheme="minorHAnsi" w:hAnsiTheme="minorHAnsi" w:cstheme="minorHAnsi"/>
          <w:b/>
        </w:rPr>
        <w:t>Application</w:t>
      </w:r>
    </w:p>
    <w:p w:rsidR="00D72D6B" w:rsidRPr="00517B23" w:rsidRDefault="00D72D6B" w:rsidP="00517B23">
      <w:pPr>
        <w:spacing w:after="240"/>
        <w:ind w:left="720" w:hanging="720"/>
        <w:jc w:val="both"/>
        <w:rPr>
          <w:rFonts w:asciiTheme="minorHAnsi" w:hAnsiTheme="minorHAnsi" w:cstheme="minorHAnsi"/>
        </w:rPr>
      </w:pPr>
      <w:r w:rsidRPr="00517B23">
        <w:rPr>
          <w:rFonts w:asciiTheme="minorHAnsi" w:hAnsiTheme="minorHAnsi" w:cstheme="minorHAnsi"/>
        </w:rPr>
        <w:t>2.</w:t>
      </w:r>
      <w:r w:rsidRPr="00517B23">
        <w:rPr>
          <w:rFonts w:asciiTheme="minorHAnsi" w:hAnsiTheme="minorHAnsi" w:cstheme="minorHAnsi"/>
        </w:rPr>
        <w:tab/>
        <w:t>This Practice Note applies to all civil proceedings commenced after its commencement and to any existing proceedings which the Court directs should be subject to this Practice Note in whole or in part.</w:t>
      </w:r>
    </w:p>
    <w:p w:rsidR="00D72D6B" w:rsidRPr="00517B23" w:rsidRDefault="00D72D6B" w:rsidP="00517B23">
      <w:pPr>
        <w:spacing w:after="240"/>
        <w:jc w:val="both"/>
        <w:rPr>
          <w:rFonts w:asciiTheme="minorHAnsi" w:hAnsiTheme="minorHAnsi" w:cstheme="minorHAnsi"/>
          <w:b/>
        </w:rPr>
      </w:pPr>
      <w:r w:rsidRPr="00517B23">
        <w:rPr>
          <w:rFonts w:asciiTheme="minorHAnsi" w:hAnsiTheme="minorHAnsi" w:cstheme="minorHAnsi"/>
          <w:b/>
        </w:rPr>
        <w:t>Definitions</w:t>
      </w:r>
    </w:p>
    <w:p w:rsidR="00D72D6B" w:rsidRPr="00517B23" w:rsidRDefault="00D72D6B" w:rsidP="00517B23">
      <w:pPr>
        <w:spacing w:after="240"/>
        <w:jc w:val="both"/>
        <w:rPr>
          <w:rFonts w:asciiTheme="minorHAnsi" w:hAnsiTheme="minorHAnsi" w:cstheme="minorHAnsi"/>
        </w:rPr>
      </w:pPr>
      <w:r w:rsidRPr="00517B23">
        <w:rPr>
          <w:rFonts w:asciiTheme="minorHAnsi" w:hAnsiTheme="minorHAnsi" w:cstheme="minorHAnsi"/>
        </w:rPr>
        <w:t>3.</w:t>
      </w:r>
      <w:r w:rsidRPr="00517B23">
        <w:rPr>
          <w:rFonts w:asciiTheme="minorHAnsi" w:hAnsiTheme="minorHAnsi" w:cstheme="minorHAnsi"/>
        </w:rPr>
        <w:tab/>
      </w:r>
      <w:proofErr w:type="gramStart"/>
      <w:r w:rsidRPr="00517B23">
        <w:rPr>
          <w:rFonts w:asciiTheme="minorHAnsi" w:hAnsiTheme="minorHAnsi" w:cstheme="minorHAnsi"/>
        </w:rPr>
        <w:t>In</w:t>
      </w:r>
      <w:proofErr w:type="gramEnd"/>
      <w:r w:rsidRPr="00517B23">
        <w:rPr>
          <w:rFonts w:asciiTheme="minorHAnsi" w:hAnsiTheme="minorHAnsi" w:cstheme="minorHAnsi"/>
        </w:rPr>
        <w:t xml:space="preserve"> this Practice Note:</w:t>
      </w:r>
    </w:p>
    <w:p w:rsidR="00D72D6B" w:rsidRPr="00517B23" w:rsidRDefault="00D72D6B" w:rsidP="00517B23">
      <w:pPr>
        <w:spacing w:after="240"/>
        <w:ind w:left="720"/>
        <w:jc w:val="both"/>
        <w:rPr>
          <w:rFonts w:asciiTheme="minorHAnsi" w:hAnsiTheme="minorHAnsi" w:cstheme="minorHAnsi"/>
        </w:rPr>
      </w:pPr>
      <w:r w:rsidRPr="00517B23">
        <w:rPr>
          <w:rFonts w:asciiTheme="minorHAnsi" w:hAnsiTheme="minorHAnsi" w:cstheme="minorHAnsi"/>
        </w:rPr>
        <w:t>“National Standards” means the Australian National Standards for Working with Interpreters in Courts and Tribunals, a copy of which may be found on the website of the Judicial Council for Cultural Diversity.</w:t>
      </w:r>
    </w:p>
    <w:p w:rsidR="00D72D6B" w:rsidRPr="00517B23" w:rsidRDefault="00D72D6B" w:rsidP="00517B23">
      <w:pPr>
        <w:spacing w:after="240"/>
        <w:ind w:left="720"/>
        <w:jc w:val="both"/>
        <w:rPr>
          <w:rFonts w:asciiTheme="minorHAnsi" w:hAnsiTheme="minorHAnsi" w:cstheme="minorHAnsi"/>
        </w:rPr>
      </w:pPr>
      <w:r w:rsidRPr="00517B23">
        <w:rPr>
          <w:rFonts w:asciiTheme="minorHAnsi" w:hAnsiTheme="minorHAnsi" w:cstheme="minorHAnsi"/>
        </w:rPr>
        <w:t>“Recognised Agency” means the National Accreditation Authority for Translators and Interpreters (NAATI) and such other organisations as are approved by the Chief Justice for the purposes of UCPR Part 31 Division 3.</w:t>
      </w:r>
    </w:p>
    <w:p w:rsidR="00D72D6B" w:rsidRPr="00517B23" w:rsidRDefault="00D72D6B" w:rsidP="00517B23">
      <w:pPr>
        <w:spacing w:after="240"/>
        <w:jc w:val="both"/>
        <w:rPr>
          <w:rFonts w:asciiTheme="minorHAnsi" w:hAnsiTheme="minorHAnsi" w:cstheme="minorHAnsi"/>
          <w:b/>
        </w:rPr>
      </w:pPr>
      <w:r w:rsidRPr="00517B23">
        <w:rPr>
          <w:rFonts w:asciiTheme="minorHAnsi" w:hAnsiTheme="minorHAnsi" w:cstheme="minorHAnsi"/>
          <w:b/>
        </w:rPr>
        <w:t>Purpose</w:t>
      </w:r>
    </w:p>
    <w:p w:rsidR="00D72D6B" w:rsidRPr="00517B23" w:rsidRDefault="00D72D6B" w:rsidP="00517B23">
      <w:pPr>
        <w:spacing w:after="240"/>
        <w:ind w:left="720" w:hanging="720"/>
        <w:jc w:val="both"/>
        <w:rPr>
          <w:rFonts w:asciiTheme="minorHAnsi" w:hAnsiTheme="minorHAnsi" w:cstheme="minorHAnsi"/>
        </w:rPr>
      </w:pPr>
      <w:r w:rsidRPr="00517B23">
        <w:rPr>
          <w:rFonts w:asciiTheme="minorHAnsi" w:hAnsiTheme="minorHAnsi" w:cstheme="minorHAnsi"/>
        </w:rPr>
        <w:t>4.</w:t>
      </w:r>
      <w:r w:rsidRPr="00517B23">
        <w:rPr>
          <w:rFonts w:asciiTheme="minorHAnsi" w:hAnsiTheme="minorHAnsi" w:cstheme="minorHAnsi"/>
        </w:rPr>
        <w:tab/>
        <w:t>The Court has resolved to implement and apply the National Standards. As part of that implementation the Court has adopted UCPR Part 31 Division 3, which is based on the Model Rules prescribed by the National Standards. The Court has also adopted this Practice Note as part of its implementation of the National Standards. This Practice Note and UCPR Part 31 Division 3 are to be read together.</w:t>
      </w:r>
    </w:p>
    <w:p w:rsidR="00D72D6B" w:rsidRPr="00517B23" w:rsidRDefault="00D72D6B" w:rsidP="00517B23">
      <w:pPr>
        <w:spacing w:after="240"/>
        <w:jc w:val="both"/>
        <w:rPr>
          <w:rFonts w:asciiTheme="minorHAnsi" w:hAnsiTheme="minorHAnsi" w:cstheme="minorHAnsi"/>
          <w:b/>
        </w:rPr>
      </w:pPr>
      <w:r w:rsidRPr="00517B23">
        <w:rPr>
          <w:rFonts w:asciiTheme="minorHAnsi" w:hAnsiTheme="minorHAnsi" w:cstheme="minorHAnsi"/>
          <w:b/>
        </w:rPr>
        <w:t>Construction and application of UCPR Part 31 Division 3</w:t>
      </w:r>
    </w:p>
    <w:p w:rsidR="00D72D6B" w:rsidRPr="00517B23" w:rsidRDefault="00D72D6B" w:rsidP="00517B23">
      <w:pPr>
        <w:spacing w:after="240"/>
        <w:ind w:left="720" w:hanging="720"/>
        <w:jc w:val="both"/>
        <w:rPr>
          <w:rFonts w:asciiTheme="minorHAnsi" w:hAnsiTheme="minorHAnsi" w:cstheme="minorHAnsi"/>
        </w:rPr>
      </w:pPr>
      <w:r w:rsidRPr="00517B23">
        <w:rPr>
          <w:rFonts w:asciiTheme="minorHAnsi" w:hAnsiTheme="minorHAnsi" w:cstheme="minorHAnsi"/>
        </w:rPr>
        <w:t>5.</w:t>
      </w:r>
      <w:r w:rsidRPr="00517B23">
        <w:rPr>
          <w:rFonts w:asciiTheme="minorHAnsi" w:hAnsiTheme="minorHAnsi" w:cstheme="minorHAnsi"/>
        </w:rPr>
        <w:tab/>
        <w:t xml:space="preserve">The Court will take into account and, unless the Court considers it for any reason impractical or undesirable in the circumstances of the particular case, </w:t>
      </w:r>
      <w:r w:rsidR="00EC2919" w:rsidRPr="00517B23">
        <w:rPr>
          <w:rFonts w:asciiTheme="minorHAnsi" w:hAnsiTheme="minorHAnsi" w:cstheme="minorHAnsi"/>
        </w:rPr>
        <w:t>give</w:t>
      </w:r>
      <w:r w:rsidR="00C37578" w:rsidRPr="00517B23">
        <w:rPr>
          <w:rFonts w:asciiTheme="minorHAnsi" w:hAnsiTheme="minorHAnsi" w:cstheme="minorHAnsi"/>
        </w:rPr>
        <w:t xml:space="preserve"> effect to</w:t>
      </w:r>
      <w:r w:rsidRPr="00517B23">
        <w:rPr>
          <w:rFonts w:asciiTheme="minorHAnsi" w:hAnsiTheme="minorHAnsi" w:cstheme="minorHAnsi"/>
        </w:rPr>
        <w:t xml:space="preserve"> the National Standards when the Court is construing and applying UCPR Part 31 Division 3. </w:t>
      </w:r>
    </w:p>
    <w:p w:rsidR="00D72D6B" w:rsidRPr="00517B23" w:rsidRDefault="00EC2919" w:rsidP="00517B23">
      <w:pPr>
        <w:spacing w:after="240"/>
        <w:jc w:val="both"/>
        <w:rPr>
          <w:rFonts w:asciiTheme="minorHAnsi" w:hAnsiTheme="minorHAnsi" w:cstheme="minorHAnsi"/>
          <w:b/>
        </w:rPr>
      </w:pPr>
      <w:r w:rsidRPr="00517B23">
        <w:rPr>
          <w:rFonts w:asciiTheme="minorHAnsi" w:hAnsiTheme="minorHAnsi" w:cstheme="minorHAnsi"/>
          <w:b/>
        </w:rPr>
        <w:lastRenderedPageBreak/>
        <w:t>When parties are a</w:t>
      </w:r>
      <w:r w:rsidR="00D72D6B" w:rsidRPr="00517B23">
        <w:rPr>
          <w:rFonts w:asciiTheme="minorHAnsi" w:hAnsiTheme="minorHAnsi" w:cstheme="minorHAnsi"/>
          <w:b/>
        </w:rPr>
        <w:t>ssessing the need for an interpreter</w:t>
      </w:r>
    </w:p>
    <w:p w:rsidR="00D72D6B" w:rsidRPr="00517B23" w:rsidRDefault="00C37578" w:rsidP="00517B23">
      <w:pPr>
        <w:spacing w:after="240"/>
        <w:ind w:left="720" w:hanging="720"/>
        <w:jc w:val="both"/>
        <w:rPr>
          <w:rFonts w:asciiTheme="minorHAnsi" w:hAnsiTheme="minorHAnsi" w:cstheme="minorHAnsi"/>
        </w:rPr>
      </w:pPr>
      <w:r w:rsidRPr="00517B23">
        <w:rPr>
          <w:rFonts w:asciiTheme="minorHAnsi" w:hAnsiTheme="minorHAnsi" w:cstheme="minorHAnsi"/>
        </w:rPr>
        <w:t>6</w:t>
      </w:r>
      <w:r w:rsidR="00D72D6B" w:rsidRPr="00517B23">
        <w:rPr>
          <w:rFonts w:asciiTheme="minorHAnsi" w:hAnsiTheme="minorHAnsi" w:cstheme="minorHAnsi"/>
        </w:rPr>
        <w:t>.</w:t>
      </w:r>
      <w:r w:rsidR="00D72D6B" w:rsidRPr="00517B23">
        <w:rPr>
          <w:rFonts w:asciiTheme="minorHAnsi" w:hAnsiTheme="minorHAnsi" w:cstheme="minorHAnsi"/>
        </w:rPr>
        <w:tab/>
        <w:t xml:space="preserve">In considering whether a person requires an interpreter </w:t>
      </w:r>
      <w:r w:rsidR="00EC2919" w:rsidRPr="00517B23">
        <w:rPr>
          <w:rFonts w:asciiTheme="minorHAnsi" w:hAnsiTheme="minorHAnsi" w:cstheme="minorHAnsi"/>
        </w:rPr>
        <w:t>a party</w:t>
      </w:r>
      <w:r w:rsidR="00D72D6B" w:rsidRPr="00517B23">
        <w:rPr>
          <w:rFonts w:asciiTheme="minorHAnsi" w:hAnsiTheme="minorHAnsi" w:cstheme="minorHAnsi"/>
        </w:rPr>
        <w:t xml:space="preserve"> must take into account the matters set out in the National Standards, in particular the tiered approach to the qualification of interpreters.</w:t>
      </w:r>
    </w:p>
    <w:p w:rsidR="00D72D6B" w:rsidRPr="00517B23" w:rsidRDefault="00D72D6B" w:rsidP="00517B23">
      <w:pPr>
        <w:spacing w:after="240"/>
        <w:ind w:left="720" w:hanging="720"/>
        <w:jc w:val="both"/>
        <w:rPr>
          <w:rFonts w:asciiTheme="minorHAnsi" w:hAnsiTheme="minorHAnsi" w:cstheme="minorHAnsi"/>
          <w:b/>
        </w:rPr>
      </w:pPr>
      <w:r w:rsidRPr="00517B23">
        <w:rPr>
          <w:rFonts w:asciiTheme="minorHAnsi" w:hAnsiTheme="minorHAnsi" w:cstheme="minorHAnsi"/>
          <w:b/>
        </w:rPr>
        <w:t>Matters to be considered when an interpreter is engaged</w:t>
      </w:r>
    </w:p>
    <w:p w:rsidR="00D72D6B" w:rsidRPr="00517B23" w:rsidRDefault="00C37578" w:rsidP="00517B23">
      <w:pPr>
        <w:spacing w:after="240"/>
        <w:ind w:left="720" w:hanging="720"/>
        <w:jc w:val="both"/>
        <w:rPr>
          <w:rFonts w:asciiTheme="minorHAnsi" w:hAnsiTheme="minorHAnsi" w:cstheme="minorHAnsi"/>
        </w:rPr>
      </w:pPr>
      <w:r w:rsidRPr="00517B23">
        <w:rPr>
          <w:rFonts w:asciiTheme="minorHAnsi" w:hAnsiTheme="minorHAnsi" w:cstheme="minorHAnsi"/>
        </w:rPr>
        <w:t>7</w:t>
      </w:r>
      <w:r w:rsidR="00D72D6B" w:rsidRPr="00517B23">
        <w:rPr>
          <w:rFonts w:asciiTheme="minorHAnsi" w:hAnsiTheme="minorHAnsi" w:cstheme="minorHAnsi"/>
        </w:rPr>
        <w:t>.</w:t>
      </w:r>
      <w:r w:rsidR="00D72D6B" w:rsidRPr="00517B23">
        <w:rPr>
          <w:rFonts w:asciiTheme="minorHAnsi" w:hAnsiTheme="minorHAnsi" w:cstheme="minorHAnsi"/>
        </w:rPr>
        <w:tab/>
        <w:t xml:space="preserve">When engaging an interpreter a party must give early consideration to the matters set out in UCPR 31.63(a) and whether any directions should be sought from the Court having regard to those matters or otherwise in connection with the participation of an interpreter in the proceedings. Such directions must be sought at the earliest possible stage in the proceedings. </w:t>
      </w:r>
      <w:bookmarkStart w:id="0" w:name="_GoBack"/>
      <w:bookmarkEnd w:id="0"/>
    </w:p>
    <w:p w:rsidR="00D72D6B" w:rsidRPr="00517B23" w:rsidRDefault="00C37578" w:rsidP="00517B23">
      <w:pPr>
        <w:spacing w:after="240"/>
        <w:ind w:left="720" w:hanging="720"/>
        <w:jc w:val="both"/>
        <w:rPr>
          <w:rFonts w:asciiTheme="minorHAnsi" w:hAnsiTheme="minorHAnsi" w:cstheme="minorHAnsi"/>
        </w:rPr>
      </w:pPr>
      <w:r w:rsidRPr="00517B23">
        <w:rPr>
          <w:rFonts w:asciiTheme="minorHAnsi" w:hAnsiTheme="minorHAnsi" w:cstheme="minorHAnsi"/>
        </w:rPr>
        <w:t>8</w:t>
      </w:r>
      <w:r w:rsidR="00D72D6B" w:rsidRPr="00517B23">
        <w:rPr>
          <w:rFonts w:asciiTheme="minorHAnsi" w:hAnsiTheme="minorHAnsi" w:cstheme="minorHAnsi"/>
        </w:rPr>
        <w:t>.</w:t>
      </w:r>
      <w:r w:rsidR="00D72D6B" w:rsidRPr="00517B23">
        <w:rPr>
          <w:rFonts w:asciiTheme="minorHAnsi" w:hAnsiTheme="minorHAnsi" w:cstheme="minorHAnsi"/>
        </w:rPr>
        <w:tab/>
        <w:t>For the purposes of providing any time estimate to the Court where evidence is to be given through an interpreter using the consecutive mode, a party should generally allow 2.5 hours for every hour that would have been estimated if the evidence was being given in English without an interpreter.  The use of the simultaneous mode can significantly expedite the proceedings.</w:t>
      </w:r>
    </w:p>
    <w:p w:rsidR="00D72D6B" w:rsidRPr="00517B23" w:rsidRDefault="00C37578" w:rsidP="00517B23">
      <w:pPr>
        <w:spacing w:after="240"/>
        <w:ind w:left="720" w:hanging="720"/>
        <w:jc w:val="both"/>
        <w:rPr>
          <w:rFonts w:asciiTheme="minorHAnsi" w:hAnsiTheme="minorHAnsi" w:cstheme="minorHAnsi"/>
        </w:rPr>
      </w:pPr>
      <w:r w:rsidRPr="00517B23">
        <w:rPr>
          <w:rFonts w:asciiTheme="minorHAnsi" w:hAnsiTheme="minorHAnsi" w:cstheme="minorHAnsi"/>
        </w:rPr>
        <w:t>9</w:t>
      </w:r>
      <w:r w:rsidR="00D72D6B" w:rsidRPr="00517B23">
        <w:rPr>
          <w:rFonts w:asciiTheme="minorHAnsi" w:hAnsiTheme="minorHAnsi" w:cstheme="minorHAnsi"/>
        </w:rPr>
        <w:t>.</w:t>
      </w:r>
      <w:r w:rsidR="00D72D6B" w:rsidRPr="00517B23">
        <w:rPr>
          <w:rFonts w:asciiTheme="minorHAnsi" w:hAnsiTheme="minorHAnsi" w:cstheme="minorHAnsi"/>
        </w:rPr>
        <w:tab/>
        <w:t>A party engaging an interpreter to interpret in proceedings in the Court must inform the interpreter that he or she will be required by the Court to produce evidence of the interpreter’s current accreditation, registration or recognition as an interpreter for the relevant language by a Recognised Agency or other evidence to satisfy the Court that he or she is qualified to act as an interpreter.</w:t>
      </w:r>
    </w:p>
    <w:p w:rsidR="00D72D6B" w:rsidRPr="00517B23" w:rsidRDefault="00D72D6B" w:rsidP="00517B23">
      <w:pPr>
        <w:spacing w:after="240"/>
        <w:jc w:val="both"/>
        <w:rPr>
          <w:rFonts w:asciiTheme="minorHAnsi" w:hAnsiTheme="minorHAnsi" w:cstheme="minorHAnsi"/>
          <w:b/>
        </w:rPr>
      </w:pPr>
      <w:r w:rsidRPr="00517B23">
        <w:rPr>
          <w:rFonts w:asciiTheme="minorHAnsi" w:hAnsiTheme="minorHAnsi" w:cstheme="minorHAnsi"/>
          <w:b/>
        </w:rPr>
        <w:t>Conduct of proceedings</w:t>
      </w:r>
    </w:p>
    <w:p w:rsidR="00D72D6B" w:rsidRPr="00517B23" w:rsidRDefault="00C37578" w:rsidP="00517B23">
      <w:pPr>
        <w:spacing w:after="240"/>
        <w:ind w:left="720" w:hanging="720"/>
        <w:jc w:val="both"/>
        <w:rPr>
          <w:rFonts w:asciiTheme="minorHAnsi" w:hAnsiTheme="minorHAnsi" w:cstheme="minorHAnsi"/>
        </w:rPr>
      </w:pPr>
      <w:r w:rsidRPr="00517B23">
        <w:rPr>
          <w:rFonts w:asciiTheme="minorHAnsi" w:hAnsiTheme="minorHAnsi" w:cstheme="minorHAnsi"/>
        </w:rPr>
        <w:t>10</w:t>
      </w:r>
      <w:r w:rsidR="00D72D6B" w:rsidRPr="00517B23">
        <w:rPr>
          <w:rFonts w:asciiTheme="minorHAnsi" w:hAnsiTheme="minorHAnsi" w:cstheme="minorHAnsi"/>
        </w:rPr>
        <w:t>.</w:t>
      </w:r>
      <w:r w:rsidR="00D72D6B" w:rsidRPr="00517B23">
        <w:rPr>
          <w:rFonts w:asciiTheme="minorHAnsi" w:hAnsiTheme="minorHAnsi" w:cstheme="minorHAnsi"/>
        </w:rPr>
        <w:tab/>
        <w:t>In addition to compliance with UCPR Part 31 Division 3 and the other provisions of this Practice Note, each party must, to the extent it is reasonably practicable, conduct proceedings in accordance with and so as to give effect to the National Standards.</w:t>
      </w:r>
    </w:p>
    <w:p w:rsidR="00D72D6B" w:rsidRPr="00517B23" w:rsidRDefault="00C37578" w:rsidP="00517B23">
      <w:pPr>
        <w:spacing w:after="240"/>
        <w:ind w:left="720" w:hanging="720"/>
        <w:jc w:val="both"/>
        <w:rPr>
          <w:rFonts w:asciiTheme="minorHAnsi" w:hAnsiTheme="minorHAnsi" w:cstheme="minorHAnsi"/>
        </w:rPr>
      </w:pPr>
      <w:r w:rsidRPr="00517B23">
        <w:rPr>
          <w:rFonts w:asciiTheme="minorHAnsi" w:hAnsiTheme="minorHAnsi" w:cstheme="minorHAnsi"/>
        </w:rPr>
        <w:t>11</w:t>
      </w:r>
      <w:r w:rsidR="00D72D6B" w:rsidRPr="00517B23">
        <w:rPr>
          <w:rFonts w:asciiTheme="minorHAnsi" w:hAnsiTheme="minorHAnsi" w:cstheme="minorHAnsi"/>
        </w:rPr>
        <w:t>.</w:t>
      </w:r>
      <w:r w:rsidR="00D72D6B" w:rsidRPr="00517B23">
        <w:rPr>
          <w:rFonts w:asciiTheme="minorHAnsi" w:hAnsiTheme="minorHAnsi" w:cstheme="minorHAnsi"/>
        </w:rPr>
        <w:tab/>
      </w:r>
      <w:proofErr w:type="gramStart"/>
      <w:r w:rsidR="00D72D6B" w:rsidRPr="00517B23">
        <w:rPr>
          <w:rFonts w:asciiTheme="minorHAnsi" w:hAnsiTheme="minorHAnsi" w:cstheme="minorHAnsi"/>
        </w:rPr>
        <w:t>Interpreting</w:t>
      </w:r>
      <w:proofErr w:type="gramEnd"/>
      <w:r w:rsidR="00D72D6B" w:rsidRPr="00517B23">
        <w:rPr>
          <w:rFonts w:asciiTheme="minorHAnsi" w:hAnsiTheme="minorHAnsi" w:cstheme="minorHAnsi"/>
        </w:rPr>
        <w:t xml:space="preserve"> accurately for the purposes of UCPR Part 31 Division 3 involves skilled and sophisticated judgments on the part of the interpreter.  An accurate interpretation does not equate to a literal or “word for word” translation.  The Court recognises that, in general, the obligation to interpret accurately is not intended to compel, and will not necessarily be satisfied by, literal or “word for word” interpretation.</w:t>
      </w:r>
    </w:p>
    <w:p w:rsidR="00D72D6B" w:rsidRPr="00517B23" w:rsidRDefault="00325E29" w:rsidP="00517B23">
      <w:pPr>
        <w:spacing w:after="240"/>
        <w:ind w:left="720" w:hanging="720"/>
        <w:jc w:val="both"/>
        <w:rPr>
          <w:rFonts w:asciiTheme="minorHAnsi" w:hAnsiTheme="minorHAnsi" w:cstheme="minorHAnsi"/>
          <w:b/>
        </w:rPr>
      </w:pPr>
      <w:r>
        <w:rPr>
          <w:rFonts w:asciiTheme="minorHAnsi" w:hAnsiTheme="minorHAnsi" w:cstheme="minorHAnsi"/>
          <w:b/>
        </w:rPr>
        <w:br w:type="page"/>
      </w:r>
      <w:r w:rsidR="00D72D6B" w:rsidRPr="00517B23">
        <w:rPr>
          <w:rFonts w:asciiTheme="minorHAnsi" w:hAnsiTheme="minorHAnsi" w:cstheme="minorHAnsi"/>
          <w:b/>
        </w:rPr>
        <w:lastRenderedPageBreak/>
        <w:t>Fees for interpreters</w:t>
      </w:r>
    </w:p>
    <w:p w:rsidR="00D72D6B" w:rsidRPr="00517B23" w:rsidRDefault="00C37578" w:rsidP="00517B23">
      <w:pPr>
        <w:spacing w:after="240"/>
        <w:ind w:left="720" w:hanging="720"/>
        <w:jc w:val="both"/>
        <w:rPr>
          <w:rFonts w:asciiTheme="minorHAnsi" w:hAnsiTheme="minorHAnsi" w:cstheme="minorHAnsi"/>
        </w:rPr>
      </w:pPr>
      <w:r w:rsidRPr="00517B23">
        <w:rPr>
          <w:rFonts w:asciiTheme="minorHAnsi" w:hAnsiTheme="minorHAnsi" w:cstheme="minorHAnsi"/>
        </w:rPr>
        <w:t>12</w:t>
      </w:r>
      <w:r w:rsidR="00D72D6B" w:rsidRPr="00517B23">
        <w:rPr>
          <w:rFonts w:asciiTheme="minorHAnsi" w:hAnsiTheme="minorHAnsi" w:cstheme="minorHAnsi"/>
        </w:rPr>
        <w:t>.</w:t>
      </w:r>
      <w:r w:rsidR="00D72D6B" w:rsidRPr="00517B23">
        <w:rPr>
          <w:rFonts w:asciiTheme="minorHAnsi" w:hAnsiTheme="minorHAnsi" w:cstheme="minorHAnsi"/>
        </w:rPr>
        <w:tab/>
        <w:t>The Court acknowledges that interpreters, in particular those who are accredited by a Recognised Agency, are entitled to charge reasonable fees commensurate with their level of qualifications, skill and experience. While what fees may be reasonable can vary depending on the circumstances, as a general guide the Court accepts as reasonable minima the rates published from time to time by Professionals Australia for the purpose of any assessment where an interpreter has been retained by a party.</w:t>
      </w:r>
    </w:p>
    <w:p w:rsidR="00D72D6B" w:rsidRPr="00517B23" w:rsidRDefault="00D72D6B" w:rsidP="00517B23">
      <w:pPr>
        <w:spacing w:after="240"/>
        <w:jc w:val="both"/>
        <w:rPr>
          <w:rFonts w:asciiTheme="minorHAnsi" w:hAnsiTheme="minorHAnsi" w:cstheme="minorHAnsi"/>
          <w:b/>
        </w:rPr>
      </w:pPr>
      <w:r w:rsidRPr="00517B23">
        <w:rPr>
          <w:rFonts w:asciiTheme="minorHAnsi" w:hAnsiTheme="minorHAnsi" w:cstheme="minorHAnsi"/>
          <w:b/>
        </w:rPr>
        <w:t>Issues concerning the availability of interpreters and implementation of the National Standards</w:t>
      </w:r>
    </w:p>
    <w:p w:rsidR="00517B23" w:rsidRDefault="00C37578" w:rsidP="00517B23">
      <w:pPr>
        <w:spacing w:after="240"/>
        <w:ind w:left="720" w:hanging="720"/>
        <w:jc w:val="both"/>
        <w:rPr>
          <w:rFonts w:asciiTheme="minorHAnsi" w:hAnsiTheme="minorHAnsi" w:cstheme="minorHAnsi"/>
        </w:rPr>
      </w:pPr>
      <w:r w:rsidRPr="00517B23">
        <w:rPr>
          <w:rFonts w:asciiTheme="minorHAnsi" w:hAnsiTheme="minorHAnsi" w:cstheme="minorHAnsi"/>
        </w:rPr>
        <w:t>13</w:t>
      </w:r>
      <w:r w:rsidR="00D72D6B" w:rsidRPr="00517B23">
        <w:rPr>
          <w:rFonts w:asciiTheme="minorHAnsi" w:hAnsiTheme="minorHAnsi" w:cstheme="minorHAnsi"/>
        </w:rPr>
        <w:t>.</w:t>
      </w:r>
      <w:r w:rsidR="00D72D6B" w:rsidRPr="00517B23">
        <w:rPr>
          <w:rFonts w:asciiTheme="minorHAnsi" w:hAnsiTheme="minorHAnsi" w:cstheme="minorHAnsi"/>
        </w:rPr>
        <w:tab/>
        <w:t>It is expected that the National Standards will be regularly reviewed. The Court encourages parties to provide comments, especially where they have encountered difficulties in obtaining suitably qualified interpreters, about the operation of the</w:t>
      </w:r>
      <w:r w:rsidR="00EC2919" w:rsidRPr="00517B23">
        <w:rPr>
          <w:rFonts w:asciiTheme="minorHAnsi" w:hAnsiTheme="minorHAnsi" w:cstheme="minorHAnsi"/>
        </w:rPr>
        <w:t xml:space="preserve"> National</w:t>
      </w:r>
      <w:r w:rsidR="00D72D6B" w:rsidRPr="00517B23">
        <w:rPr>
          <w:rFonts w:asciiTheme="minorHAnsi" w:hAnsiTheme="minorHAnsi" w:cstheme="minorHAnsi"/>
        </w:rPr>
        <w:t xml:space="preserve"> Standards to the National Accreditation Authority for Translators and Interpreters at </w:t>
      </w:r>
      <w:hyperlink r:id="rId8" w:history="1">
        <w:r w:rsidR="00517B23" w:rsidRPr="002015AF">
          <w:rPr>
            <w:rStyle w:val="Hyperlink"/>
            <w:rFonts w:asciiTheme="minorHAnsi" w:hAnsiTheme="minorHAnsi" w:cstheme="minorHAnsi"/>
          </w:rPr>
          <w:t>info@naati.com.au</w:t>
        </w:r>
      </w:hyperlink>
      <w:r w:rsidR="00517B23">
        <w:rPr>
          <w:rFonts w:asciiTheme="minorHAnsi" w:hAnsiTheme="minorHAnsi" w:cstheme="minorHAnsi"/>
        </w:rPr>
        <w:t>.</w:t>
      </w:r>
    </w:p>
    <w:p w:rsidR="00517B23" w:rsidRDefault="00517B23" w:rsidP="00517B23">
      <w:pPr>
        <w:spacing w:after="240"/>
        <w:jc w:val="both"/>
        <w:rPr>
          <w:rFonts w:asciiTheme="minorHAnsi" w:hAnsiTheme="minorHAnsi" w:cstheme="minorHAnsi"/>
        </w:rPr>
      </w:pPr>
    </w:p>
    <w:p w:rsidR="00325E29" w:rsidRPr="00517B23" w:rsidRDefault="00325E29" w:rsidP="00517B23">
      <w:pPr>
        <w:spacing w:after="240"/>
        <w:jc w:val="both"/>
        <w:rPr>
          <w:rFonts w:asciiTheme="minorHAnsi" w:hAnsiTheme="minorHAnsi" w:cstheme="minorHAnsi"/>
        </w:rPr>
      </w:pPr>
    </w:p>
    <w:p w:rsidR="00D72D6B" w:rsidRPr="00517B23" w:rsidRDefault="00D72D6B" w:rsidP="00517B23">
      <w:pPr>
        <w:spacing w:after="0"/>
        <w:jc w:val="both"/>
        <w:rPr>
          <w:rFonts w:asciiTheme="minorHAnsi" w:hAnsiTheme="minorHAnsi" w:cstheme="minorHAnsi"/>
          <w:b/>
        </w:rPr>
      </w:pPr>
      <w:r w:rsidRPr="00517B23">
        <w:rPr>
          <w:rFonts w:asciiTheme="minorHAnsi" w:hAnsiTheme="minorHAnsi" w:cstheme="minorHAnsi"/>
          <w:b/>
        </w:rPr>
        <w:t>T F Bathurst AC</w:t>
      </w:r>
    </w:p>
    <w:p w:rsidR="00D72D6B" w:rsidRPr="00517B23" w:rsidRDefault="00D72D6B" w:rsidP="00325E29">
      <w:pPr>
        <w:spacing w:after="0" w:line="360" w:lineRule="auto"/>
        <w:jc w:val="both"/>
        <w:rPr>
          <w:rFonts w:asciiTheme="minorHAnsi" w:hAnsiTheme="minorHAnsi" w:cstheme="minorHAnsi"/>
        </w:rPr>
      </w:pPr>
      <w:r w:rsidRPr="00517B23">
        <w:rPr>
          <w:rFonts w:asciiTheme="minorHAnsi" w:hAnsiTheme="minorHAnsi" w:cstheme="minorHAnsi"/>
        </w:rPr>
        <w:t>Chief Justice of New South Wales</w:t>
      </w:r>
    </w:p>
    <w:p w:rsidR="00131310" w:rsidRPr="00517B23" w:rsidRDefault="0088323B" w:rsidP="00517B23">
      <w:pPr>
        <w:jc w:val="both"/>
        <w:rPr>
          <w:rFonts w:asciiTheme="minorHAnsi" w:hAnsiTheme="minorHAnsi" w:cstheme="minorHAnsi"/>
        </w:rPr>
      </w:pPr>
      <w:r>
        <w:rPr>
          <w:rFonts w:asciiTheme="minorHAnsi" w:hAnsiTheme="minorHAnsi" w:cstheme="minorHAnsi"/>
        </w:rPr>
        <w:t>4 March</w:t>
      </w:r>
      <w:r w:rsidR="00325E29">
        <w:rPr>
          <w:rFonts w:asciiTheme="minorHAnsi" w:hAnsiTheme="minorHAnsi" w:cstheme="minorHAnsi"/>
        </w:rPr>
        <w:t xml:space="preserve"> 2020</w:t>
      </w:r>
    </w:p>
    <w:sectPr w:rsidR="00131310" w:rsidRPr="00517B23" w:rsidSect="00517B23">
      <w:headerReference w:type="default" r:id="rId9"/>
      <w:headerReference w:type="first" r:id="rId10"/>
      <w:pgSz w:w="11906" w:h="16838" w:code="9"/>
      <w:pgMar w:top="1134" w:right="1418" w:bottom="1134" w:left="1418" w:header="709"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B23" w:rsidRDefault="00517B23" w:rsidP="00517B23">
      <w:pPr>
        <w:spacing w:after="0" w:line="240" w:lineRule="auto"/>
      </w:pPr>
      <w:r>
        <w:separator/>
      </w:r>
    </w:p>
  </w:endnote>
  <w:endnote w:type="continuationSeparator" w:id="0">
    <w:p w:rsidR="00517B23" w:rsidRDefault="00517B23" w:rsidP="0051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B23" w:rsidRDefault="00517B23" w:rsidP="00517B23">
      <w:pPr>
        <w:spacing w:after="0" w:line="240" w:lineRule="auto"/>
      </w:pPr>
      <w:r>
        <w:separator/>
      </w:r>
    </w:p>
  </w:footnote>
  <w:footnote w:type="continuationSeparator" w:id="0">
    <w:p w:rsidR="00517B23" w:rsidRDefault="00517B23" w:rsidP="00517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23" w:rsidRPr="00517B23" w:rsidRDefault="00517B23" w:rsidP="00517B23">
    <w:pPr>
      <w:pStyle w:val="Header"/>
      <w:tabs>
        <w:tab w:val="clear" w:pos="4513"/>
        <w:tab w:val="clear" w:pos="9026"/>
        <w:tab w:val="right" w:pos="9063"/>
      </w:tabs>
      <w:spacing w:after="0"/>
      <w:rPr>
        <w:rFonts w:asciiTheme="minorHAnsi" w:hAnsiTheme="minorHAnsi" w:cstheme="minorHAnsi"/>
        <w:sz w:val="20"/>
      </w:rPr>
    </w:pPr>
    <w:r>
      <w:rPr>
        <w:rFonts w:asciiTheme="minorHAnsi" w:hAnsiTheme="minorHAnsi" w:cstheme="minorHAnsi"/>
        <w:sz w:val="20"/>
      </w:rPr>
      <w:t>Practice Note SC Gen 21</w:t>
    </w:r>
    <w:r w:rsidRPr="00517B23">
      <w:rPr>
        <w:rFonts w:asciiTheme="minorHAnsi" w:hAnsiTheme="minorHAnsi" w:cstheme="minorHAnsi"/>
        <w:sz w:val="20"/>
      </w:rPr>
      <w:tab/>
      <w:t xml:space="preserve">Page </w:t>
    </w:r>
    <w:r w:rsidRPr="00517B23">
      <w:rPr>
        <w:rFonts w:asciiTheme="minorHAnsi" w:hAnsiTheme="minorHAnsi" w:cstheme="minorHAnsi"/>
        <w:sz w:val="20"/>
      </w:rPr>
      <w:fldChar w:fldCharType="begin"/>
    </w:r>
    <w:r w:rsidRPr="00517B23">
      <w:rPr>
        <w:rFonts w:asciiTheme="minorHAnsi" w:hAnsiTheme="minorHAnsi" w:cstheme="minorHAnsi"/>
        <w:sz w:val="20"/>
      </w:rPr>
      <w:instrText xml:space="preserve"> PAGE </w:instrText>
    </w:r>
    <w:r w:rsidRPr="00517B23">
      <w:rPr>
        <w:rFonts w:asciiTheme="minorHAnsi" w:hAnsiTheme="minorHAnsi" w:cstheme="minorHAnsi"/>
        <w:sz w:val="20"/>
      </w:rPr>
      <w:fldChar w:fldCharType="separate"/>
    </w:r>
    <w:r w:rsidR="008A3174">
      <w:rPr>
        <w:rFonts w:asciiTheme="minorHAnsi" w:hAnsiTheme="minorHAnsi" w:cstheme="minorHAnsi"/>
        <w:noProof/>
        <w:sz w:val="20"/>
      </w:rPr>
      <w:t>3</w:t>
    </w:r>
    <w:r w:rsidRPr="00517B23">
      <w:rPr>
        <w:rFonts w:asciiTheme="minorHAnsi" w:hAnsiTheme="minorHAnsi" w:cstheme="minorHAnsi"/>
        <w:sz w:val="20"/>
      </w:rPr>
      <w:fldChar w:fldCharType="end"/>
    </w:r>
    <w:r w:rsidRPr="00517B23">
      <w:rPr>
        <w:rFonts w:asciiTheme="minorHAnsi" w:hAnsiTheme="minorHAnsi" w:cstheme="minorHAnsi"/>
        <w:sz w:val="20"/>
      </w:rPr>
      <w:t xml:space="preserve"> of </w:t>
    </w:r>
    <w:r w:rsidRPr="00517B23">
      <w:rPr>
        <w:rFonts w:asciiTheme="minorHAnsi" w:hAnsiTheme="minorHAnsi" w:cstheme="minorHAnsi"/>
        <w:sz w:val="20"/>
      </w:rPr>
      <w:fldChar w:fldCharType="begin"/>
    </w:r>
    <w:r w:rsidRPr="00517B23">
      <w:rPr>
        <w:rFonts w:asciiTheme="minorHAnsi" w:hAnsiTheme="minorHAnsi" w:cstheme="minorHAnsi"/>
        <w:sz w:val="20"/>
      </w:rPr>
      <w:instrText xml:space="preserve"> NUMPAGES </w:instrText>
    </w:r>
    <w:r w:rsidRPr="00517B23">
      <w:rPr>
        <w:rFonts w:asciiTheme="minorHAnsi" w:hAnsiTheme="minorHAnsi" w:cstheme="minorHAnsi"/>
        <w:sz w:val="20"/>
      </w:rPr>
      <w:fldChar w:fldCharType="separate"/>
    </w:r>
    <w:r w:rsidR="008A3174">
      <w:rPr>
        <w:rFonts w:asciiTheme="minorHAnsi" w:hAnsiTheme="minorHAnsi" w:cstheme="minorHAnsi"/>
        <w:noProof/>
        <w:sz w:val="20"/>
      </w:rPr>
      <w:t>3</w:t>
    </w:r>
    <w:r w:rsidRPr="00517B23">
      <w:rPr>
        <w:rFonts w:asciiTheme="minorHAnsi" w:hAnsiTheme="minorHAnsi" w:cstheme="minorHAnsi"/>
        <w:sz w:val="20"/>
      </w:rPr>
      <w:fldChar w:fldCharType="end"/>
    </w:r>
  </w:p>
  <w:p w:rsidR="00517B23" w:rsidRPr="00517B23" w:rsidRDefault="00517B23" w:rsidP="00517B23">
    <w:pPr>
      <w:pStyle w:val="Header"/>
      <w:pBdr>
        <w:bottom w:val="single" w:sz="4" w:space="1" w:color="auto"/>
      </w:pBdr>
      <w:tabs>
        <w:tab w:val="right" w:pos="9063"/>
      </w:tabs>
      <w:spacing w:after="0"/>
      <w:rPr>
        <w:rFonts w:asciiTheme="minorHAnsi" w:hAnsiTheme="minorHAnsi" w:cstheme="minorHAnsi"/>
        <w:b/>
        <w:sz w:val="20"/>
      </w:rPr>
    </w:pPr>
    <w:r>
      <w:rPr>
        <w:rFonts w:asciiTheme="minorHAnsi" w:hAnsiTheme="minorHAnsi" w:cstheme="minorHAnsi"/>
        <w:b/>
        <w:sz w:val="20"/>
      </w:rPr>
      <w:t>Interpreters in Civil Proceedings</w:t>
    </w:r>
  </w:p>
  <w:p w:rsidR="00517B23" w:rsidRPr="00517B23" w:rsidRDefault="00517B23" w:rsidP="00517B23">
    <w:pPr>
      <w:pStyle w:val="Header"/>
      <w:tabs>
        <w:tab w:val="right" w:pos="9063"/>
      </w:tabs>
      <w:spacing w:after="0"/>
      <w:rPr>
        <w:rFonts w:asciiTheme="minorHAnsi" w:hAnsiTheme="minorHAnsi" w:cstheme="minorHAnsi"/>
        <w:sz w:val="20"/>
      </w:rPr>
    </w:pPr>
  </w:p>
  <w:p w:rsidR="00517B23" w:rsidRPr="00517B23" w:rsidRDefault="00517B23" w:rsidP="00517B23">
    <w:pPr>
      <w:pStyle w:val="Header"/>
      <w:tabs>
        <w:tab w:val="right" w:pos="9063"/>
      </w:tabs>
      <w:spacing w:after="0"/>
      <w:rPr>
        <w:rFonts w:asciiTheme="minorHAnsi" w:hAnsiTheme="minorHAnsi" w:cstheme="minorHAns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23" w:rsidRDefault="00517B23" w:rsidP="00517B23">
    <w:pPr>
      <w:pStyle w:val="Header"/>
      <w:tabs>
        <w:tab w:val="clear" w:pos="4513"/>
        <w:tab w:val="center" w:pos="4535"/>
        <w:tab w:val="left" w:pos="6002"/>
      </w:tabs>
      <w:spacing w:after="0" w:line="240" w:lineRule="auto"/>
      <w:rPr>
        <w:rFonts w:ascii="Arial" w:eastAsia="Arial" w:hAnsi="Arial" w:cs="Arial"/>
        <w:b/>
        <w:bCs/>
        <w:color w:val="EF493F"/>
        <w:sz w:val="21"/>
        <w:szCs w:val="21"/>
      </w:rPr>
    </w:pPr>
    <w:r>
      <w:rPr>
        <w:rFonts w:ascii="Arial" w:eastAsia="Arial" w:hAnsi="Arial" w:cs="Arial"/>
        <w:b/>
        <w:bCs/>
        <w:color w:val="EF493F"/>
        <w:sz w:val="21"/>
        <w:szCs w:val="21"/>
      </w:rPr>
      <w:tab/>
    </w:r>
    <w:r w:rsidR="00325E29">
      <w:rPr>
        <w:noProof/>
        <w:lang w:eastAsia="en-AU"/>
      </w:rPr>
      <w:drawing>
        <wp:inline distT="0" distB="0" distL="0" distR="0">
          <wp:extent cx="1114425" cy="971550"/>
          <wp:effectExtent l="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p w:rsidR="00517B23" w:rsidRDefault="00517B23" w:rsidP="00517B23">
    <w:pPr>
      <w:pStyle w:val="Header"/>
      <w:spacing w:after="0"/>
      <w:jc w:val="center"/>
      <w:rPr>
        <w:rFonts w:ascii="Arial" w:eastAsia="Arial" w:hAnsi="Arial" w:cs="Arial"/>
        <w:b/>
        <w:bCs/>
        <w:color w:val="EF493F"/>
        <w:w w:val="102"/>
        <w:sz w:val="21"/>
        <w:szCs w:val="21"/>
      </w:rPr>
    </w:pPr>
    <w:r>
      <w:rPr>
        <w:rFonts w:ascii="Arial" w:eastAsia="Arial" w:hAnsi="Arial" w:cs="Arial"/>
        <w:b/>
        <w:bCs/>
        <w:color w:val="EF493F"/>
        <w:sz w:val="21"/>
        <w:szCs w:val="21"/>
      </w:rPr>
      <w:t>New</w:t>
    </w:r>
    <w:r>
      <w:rPr>
        <w:rFonts w:ascii="Arial" w:eastAsia="Arial" w:hAnsi="Arial" w:cs="Arial"/>
        <w:b/>
        <w:bCs/>
        <w:color w:val="EF493F"/>
        <w:spacing w:val="19"/>
        <w:sz w:val="21"/>
        <w:szCs w:val="21"/>
      </w:rPr>
      <w:t xml:space="preserve"> </w:t>
    </w:r>
    <w:r>
      <w:rPr>
        <w:rFonts w:ascii="Arial" w:eastAsia="Arial" w:hAnsi="Arial" w:cs="Arial"/>
        <w:b/>
        <w:bCs/>
        <w:color w:val="EF493F"/>
        <w:sz w:val="21"/>
        <w:szCs w:val="21"/>
      </w:rPr>
      <w:t>South</w:t>
    </w:r>
    <w:r>
      <w:rPr>
        <w:rFonts w:ascii="Arial" w:eastAsia="Arial" w:hAnsi="Arial" w:cs="Arial"/>
        <w:b/>
        <w:bCs/>
        <w:color w:val="EF493F"/>
        <w:spacing w:val="24"/>
        <w:sz w:val="21"/>
        <w:szCs w:val="21"/>
      </w:rPr>
      <w:t xml:space="preserve"> </w:t>
    </w:r>
    <w:r>
      <w:rPr>
        <w:rFonts w:ascii="Arial" w:eastAsia="Arial" w:hAnsi="Arial" w:cs="Arial"/>
        <w:b/>
        <w:bCs/>
        <w:color w:val="EF493F"/>
        <w:w w:val="102"/>
        <w:sz w:val="21"/>
        <w:szCs w:val="21"/>
      </w:rPr>
      <w:t>Wales</w:t>
    </w:r>
  </w:p>
  <w:p w:rsidR="00517B23" w:rsidRDefault="00517B23" w:rsidP="00517B23">
    <w:pPr>
      <w:pStyle w:val="Header"/>
      <w:spacing w:after="0"/>
      <w:jc w:val="center"/>
      <w:rPr>
        <w:rFonts w:ascii="Arial" w:eastAsia="Arial" w:hAnsi="Arial" w:cs="Arial"/>
        <w:b/>
        <w:bCs/>
        <w:color w:val="EF493F"/>
        <w:w w:val="102"/>
        <w:sz w:val="21"/>
        <w:szCs w:val="21"/>
      </w:rPr>
    </w:pPr>
  </w:p>
  <w:p w:rsidR="00517B23" w:rsidRDefault="00517B23" w:rsidP="00517B23">
    <w:pPr>
      <w:pStyle w:val="Header"/>
      <w:spacing w:after="0"/>
      <w:jc w:val="center"/>
      <w:rPr>
        <w:rFonts w:ascii="Arial" w:eastAsia="Arial" w:hAnsi="Arial" w:cs="Arial"/>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6B"/>
    <w:rsid w:val="0000097F"/>
    <w:rsid w:val="00131310"/>
    <w:rsid w:val="00245771"/>
    <w:rsid w:val="00325E29"/>
    <w:rsid w:val="003D5748"/>
    <w:rsid w:val="003E2F9D"/>
    <w:rsid w:val="00517B23"/>
    <w:rsid w:val="007637DA"/>
    <w:rsid w:val="0086622F"/>
    <w:rsid w:val="0088323B"/>
    <w:rsid w:val="008A3174"/>
    <w:rsid w:val="00C37578"/>
    <w:rsid w:val="00CE22FC"/>
    <w:rsid w:val="00D72D6B"/>
    <w:rsid w:val="00EC2919"/>
    <w:rsid w:val="00F45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Calibri" w:hAnsi="Century Schoolboo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F9D"/>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7B23"/>
    <w:pPr>
      <w:tabs>
        <w:tab w:val="center" w:pos="4513"/>
        <w:tab w:val="right" w:pos="9026"/>
      </w:tabs>
    </w:pPr>
  </w:style>
  <w:style w:type="character" w:customStyle="1" w:styleId="HeaderChar">
    <w:name w:val="Header Char"/>
    <w:basedOn w:val="DefaultParagraphFont"/>
    <w:link w:val="Header"/>
    <w:rsid w:val="00517B23"/>
    <w:rPr>
      <w:sz w:val="24"/>
      <w:szCs w:val="24"/>
      <w:lang w:eastAsia="en-US"/>
    </w:rPr>
  </w:style>
  <w:style w:type="paragraph" w:styleId="Footer">
    <w:name w:val="footer"/>
    <w:basedOn w:val="Normal"/>
    <w:link w:val="FooterChar"/>
    <w:uiPriority w:val="99"/>
    <w:unhideWhenUsed/>
    <w:rsid w:val="00517B23"/>
    <w:pPr>
      <w:tabs>
        <w:tab w:val="center" w:pos="4513"/>
        <w:tab w:val="right" w:pos="9026"/>
      </w:tabs>
    </w:pPr>
  </w:style>
  <w:style w:type="character" w:customStyle="1" w:styleId="FooterChar">
    <w:name w:val="Footer Char"/>
    <w:basedOn w:val="DefaultParagraphFont"/>
    <w:link w:val="Footer"/>
    <w:uiPriority w:val="99"/>
    <w:rsid w:val="00517B23"/>
    <w:rPr>
      <w:sz w:val="24"/>
      <w:szCs w:val="24"/>
      <w:lang w:eastAsia="en-US"/>
    </w:rPr>
  </w:style>
  <w:style w:type="character" w:styleId="Hyperlink">
    <w:name w:val="Hyperlink"/>
    <w:basedOn w:val="DefaultParagraphFont"/>
    <w:uiPriority w:val="99"/>
    <w:unhideWhenUsed/>
    <w:rsid w:val="00517B23"/>
    <w:rPr>
      <w:color w:val="0000FF" w:themeColor="hyperlink"/>
      <w:u w:val="single"/>
    </w:rPr>
  </w:style>
  <w:style w:type="paragraph" w:styleId="BalloonText">
    <w:name w:val="Balloon Text"/>
    <w:basedOn w:val="Normal"/>
    <w:link w:val="BalloonTextChar"/>
    <w:uiPriority w:val="99"/>
    <w:semiHidden/>
    <w:unhideWhenUsed/>
    <w:rsid w:val="00325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E2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Calibri" w:hAnsi="Century Schoolboo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F9D"/>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7B23"/>
    <w:pPr>
      <w:tabs>
        <w:tab w:val="center" w:pos="4513"/>
        <w:tab w:val="right" w:pos="9026"/>
      </w:tabs>
    </w:pPr>
  </w:style>
  <w:style w:type="character" w:customStyle="1" w:styleId="HeaderChar">
    <w:name w:val="Header Char"/>
    <w:basedOn w:val="DefaultParagraphFont"/>
    <w:link w:val="Header"/>
    <w:rsid w:val="00517B23"/>
    <w:rPr>
      <w:sz w:val="24"/>
      <w:szCs w:val="24"/>
      <w:lang w:eastAsia="en-US"/>
    </w:rPr>
  </w:style>
  <w:style w:type="paragraph" w:styleId="Footer">
    <w:name w:val="footer"/>
    <w:basedOn w:val="Normal"/>
    <w:link w:val="FooterChar"/>
    <w:uiPriority w:val="99"/>
    <w:unhideWhenUsed/>
    <w:rsid w:val="00517B23"/>
    <w:pPr>
      <w:tabs>
        <w:tab w:val="center" w:pos="4513"/>
        <w:tab w:val="right" w:pos="9026"/>
      </w:tabs>
    </w:pPr>
  </w:style>
  <w:style w:type="character" w:customStyle="1" w:styleId="FooterChar">
    <w:name w:val="Footer Char"/>
    <w:basedOn w:val="DefaultParagraphFont"/>
    <w:link w:val="Footer"/>
    <w:uiPriority w:val="99"/>
    <w:rsid w:val="00517B23"/>
    <w:rPr>
      <w:sz w:val="24"/>
      <w:szCs w:val="24"/>
      <w:lang w:eastAsia="en-US"/>
    </w:rPr>
  </w:style>
  <w:style w:type="character" w:styleId="Hyperlink">
    <w:name w:val="Hyperlink"/>
    <w:basedOn w:val="DefaultParagraphFont"/>
    <w:uiPriority w:val="99"/>
    <w:unhideWhenUsed/>
    <w:rsid w:val="00517B23"/>
    <w:rPr>
      <w:color w:val="0000FF" w:themeColor="hyperlink"/>
      <w:u w:val="single"/>
    </w:rPr>
  </w:style>
  <w:style w:type="paragraph" w:styleId="BalloonText">
    <w:name w:val="Balloon Text"/>
    <w:basedOn w:val="Normal"/>
    <w:link w:val="BalloonTextChar"/>
    <w:uiPriority w:val="99"/>
    <w:semiHidden/>
    <w:unhideWhenUsed/>
    <w:rsid w:val="00325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E2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aati.com.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049D5-F462-4402-AFB0-68910A8B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3FF72D73.dotm</Template>
  <TotalTime>5</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Justice Francois Kunc</dc:creator>
  <cp:lastModifiedBy>Victoria Bradshaw</cp:lastModifiedBy>
  <cp:revision>4</cp:revision>
  <cp:lastPrinted>2020-03-03T23:40:00Z</cp:lastPrinted>
  <dcterms:created xsi:type="dcterms:W3CDTF">2020-02-27T01:47:00Z</dcterms:created>
  <dcterms:modified xsi:type="dcterms:W3CDTF">2020-03-03T23:41:00Z</dcterms:modified>
</cp:coreProperties>
</file>