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FD5" w:rsidRPr="0000424F" w:rsidRDefault="00F27610" w:rsidP="0001580E">
      <w:pPr>
        <w:spacing w:after="0" w:line="360" w:lineRule="auto"/>
        <w:ind w:left="720" w:hanging="720"/>
        <w:jc w:val="center"/>
        <w:rPr>
          <w:rFonts w:cs="Calibri"/>
          <w:b/>
          <w:sz w:val="26"/>
          <w:szCs w:val="26"/>
        </w:rPr>
      </w:pPr>
      <w:r>
        <w:rPr>
          <w:rFonts w:cs="Calibri"/>
          <w:b/>
          <w:sz w:val="26"/>
          <w:szCs w:val="26"/>
        </w:rPr>
        <w:t>PRACTICE NOTE SC CL 5</w:t>
      </w:r>
    </w:p>
    <w:p w:rsidR="0001580E" w:rsidRPr="0000424F" w:rsidRDefault="003A4903" w:rsidP="0001580E">
      <w:pPr>
        <w:spacing w:after="0" w:line="360" w:lineRule="auto"/>
        <w:ind w:left="720" w:hanging="720"/>
        <w:jc w:val="center"/>
        <w:rPr>
          <w:rFonts w:cs="Calibri"/>
          <w:b/>
          <w:sz w:val="26"/>
          <w:szCs w:val="26"/>
        </w:rPr>
      </w:pPr>
      <w:r>
        <w:rPr>
          <w:rFonts w:cs="Calibri"/>
          <w:b/>
          <w:sz w:val="26"/>
          <w:szCs w:val="26"/>
        </w:rPr>
        <w:t>Urgent Matters in the Common Law Division</w:t>
      </w:r>
    </w:p>
    <w:p w:rsidR="00186FD5" w:rsidRDefault="00186FD5" w:rsidP="0001580E">
      <w:pPr>
        <w:spacing w:after="0" w:line="240" w:lineRule="auto"/>
        <w:ind w:left="720" w:hanging="720"/>
        <w:jc w:val="both"/>
        <w:rPr>
          <w:rFonts w:cs="Calibri"/>
          <w:b/>
          <w:sz w:val="24"/>
          <w:szCs w:val="24"/>
        </w:rPr>
      </w:pPr>
    </w:p>
    <w:p w:rsidR="00186FD5" w:rsidRPr="0000424F" w:rsidRDefault="00186FD5" w:rsidP="0001580E">
      <w:pPr>
        <w:spacing w:line="240" w:lineRule="auto"/>
        <w:ind w:left="720" w:hanging="720"/>
        <w:jc w:val="both"/>
        <w:rPr>
          <w:rFonts w:cs="Calibri"/>
          <w:b/>
        </w:rPr>
      </w:pPr>
      <w:r w:rsidRPr="0000424F">
        <w:rPr>
          <w:rFonts w:cs="Calibri"/>
          <w:b/>
        </w:rPr>
        <w:t xml:space="preserve">Commencement </w:t>
      </w:r>
    </w:p>
    <w:p w:rsidR="00186FD5" w:rsidRPr="0000424F" w:rsidRDefault="00186FD5" w:rsidP="0001580E">
      <w:pPr>
        <w:spacing w:line="240" w:lineRule="auto"/>
        <w:ind w:left="720" w:hanging="720"/>
        <w:jc w:val="both"/>
        <w:rPr>
          <w:rFonts w:cs="Calibri"/>
        </w:rPr>
      </w:pPr>
      <w:r w:rsidRPr="0000424F">
        <w:rPr>
          <w:rFonts w:cs="Calibri"/>
        </w:rPr>
        <w:t>1.</w:t>
      </w:r>
      <w:r w:rsidRPr="0000424F">
        <w:rPr>
          <w:rFonts w:cs="Calibri"/>
        </w:rPr>
        <w:tab/>
        <w:t>This Practice Note commences on</w:t>
      </w:r>
      <w:r w:rsidR="00E45895">
        <w:rPr>
          <w:rFonts w:cs="Calibri"/>
        </w:rPr>
        <w:t xml:space="preserve"> 8 March 2019</w:t>
      </w:r>
      <w:r w:rsidR="0033730B">
        <w:rPr>
          <w:rFonts w:cs="Calibri"/>
        </w:rPr>
        <w:t>.</w:t>
      </w:r>
    </w:p>
    <w:p w:rsidR="00186FD5" w:rsidRPr="0000424F" w:rsidRDefault="00186FD5" w:rsidP="0001580E">
      <w:pPr>
        <w:spacing w:line="240" w:lineRule="auto"/>
        <w:ind w:left="720" w:hanging="720"/>
        <w:jc w:val="both"/>
        <w:rPr>
          <w:rFonts w:cs="Calibri"/>
          <w:b/>
        </w:rPr>
      </w:pPr>
      <w:r w:rsidRPr="0000424F">
        <w:rPr>
          <w:rFonts w:cs="Calibri"/>
          <w:b/>
        </w:rPr>
        <w:t>Application</w:t>
      </w:r>
    </w:p>
    <w:p w:rsidR="00186FD5" w:rsidRPr="0000424F" w:rsidRDefault="00186FD5" w:rsidP="0001580E">
      <w:pPr>
        <w:spacing w:line="240" w:lineRule="auto"/>
        <w:ind w:left="720" w:hanging="720"/>
        <w:jc w:val="both"/>
        <w:rPr>
          <w:rFonts w:cs="Calibri"/>
        </w:rPr>
      </w:pPr>
      <w:r w:rsidRPr="0000424F">
        <w:rPr>
          <w:rFonts w:cs="Calibri"/>
        </w:rPr>
        <w:t>2.</w:t>
      </w:r>
      <w:r w:rsidRPr="0000424F">
        <w:rPr>
          <w:rFonts w:cs="Calibri"/>
        </w:rPr>
        <w:tab/>
      </w:r>
      <w:r w:rsidR="005D7615" w:rsidRPr="008D4C31">
        <w:t xml:space="preserve">This Practice Note applies to </w:t>
      </w:r>
      <w:r w:rsidR="005D7615" w:rsidRPr="008D4C31">
        <w:rPr>
          <w:b/>
        </w:rPr>
        <w:t xml:space="preserve">Urgent Applications </w:t>
      </w:r>
      <w:r w:rsidR="005D7615" w:rsidRPr="008D4C31">
        <w:t>in</w:t>
      </w:r>
      <w:r w:rsidR="005D7615" w:rsidRPr="008D4C31">
        <w:rPr>
          <w:b/>
        </w:rPr>
        <w:t xml:space="preserve"> </w:t>
      </w:r>
      <w:r w:rsidR="005D7615" w:rsidRPr="008D4C31">
        <w:t>civil proceedings in the Common Law Division of the Supreme Court.</w:t>
      </w:r>
    </w:p>
    <w:p w:rsidR="00186FD5" w:rsidRPr="0000424F" w:rsidRDefault="00186FD5" w:rsidP="0001580E">
      <w:pPr>
        <w:spacing w:line="240" w:lineRule="auto"/>
        <w:ind w:left="720" w:hanging="720"/>
        <w:jc w:val="both"/>
        <w:rPr>
          <w:rFonts w:cs="Calibri"/>
        </w:rPr>
      </w:pPr>
      <w:r w:rsidRPr="0000424F">
        <w:rPr>
          <w:rFonts w:cs="Calibri"/>
        </w:rPr>
        <w:t>3.</w:t>
      </w:r>
      <w:r w:rsidRPr="0000424F">
        <w:rPr>
          <w:rFonts w:cs="Calibri"/>
        </w:rPr>
        <w:tab/>
        <w:t>This Practice Note should be read in conjunction with other Common Law Division Practice Notes and specifically those of the individual lists.</w:t>
      </w:r>
    </w:p>
    <w:p w:rsidR="00186FD5" w:rsidRPr="0000424F" w:rsidRDefault="00186FD5" w:rsidP="0001580E">
      <w:pPr>
        <w:spacing w:line="240" w:lineRule="auto"/>
        <w:ind w:left="720" w:hanging="720"/>
        <w:jc w:val="both"/>
        <w:rPr>
          <w:rFonts w:cs="Calibri"/>
          <w:b/>
        </w:rPr>
      </w:pPr>
      <w:r w:rsidRPr="0000424F">
        <w:rPr>
          <w:rFonts w:cs="Calibri"/>
          <w:b/>
        </w:rPr>
        <w:t>Definitions</w:t>
      </w:r>
    </w:p>
    <w:p w:rsidR="00186FD5" w:rsidRPr="0000424F" w:rsidRDefault="00186FD5" w:rsidP="0001580E">
      <w:pPr>
        <w:spacing w:line="240" w:lineRule="auto"/>
        <w:ind w:left="720" w:hanging="720"/>
        <w:jc w:val="both"/>
        <w:rPr>
          <w:rFonts w:cs="Calibri"/>
        </w:rPr>
      </w:pPr>
      <w:r w:rsidRPr="0000424F">
        <w:rPr>
          <w:rFonts w:cs="Calibri"/>
        </w:rPr>
        <w:t>4.</w:t>
      </w:r>
      <w:r w:rsidRPr="0000424F">
        <w:rPr>
          <w:rFonts w:cs="Calibri"/>
        </w:rPr>
        <w:tab/>
      </w:r>
      <w:proofErr w:type="gramStart"/>
      <w:r w:rsidRPr="0000424F">
        <w:rPr>
          <w:rFonts w:cs="Calibri"/>
        </w:rPr>
        <w:t>In</w:t>
      </w:r>
      <w:proofErr w:type="gramEnd"/>
      <w:r w:rsidRPr="0000424F">
        <w:rPr>
          <w:rFonts w:cs="Calibri"/>
        </w:rPr>
        <w:t xml:space="preserve"> this Practice Note:</w:t>
      </w:r>
    </w:p>
    <w:p w:rsidR="00186FD5" w:rsidRPr="0000424F" w:rsidRDefault="00186FD5" w:rsidP="0001580E">
      <w:pPr>
        <w:spacing w:line="240" w:lineRule="auto"/>
        <w:ind w:left="1440" w:hanging="720"/>
        <w:jc w:val="both"/>
        <w:rPr>
          <w:rFonts w:cs="Calibri"/>
        </w:rPr>
      </w:pPr>
      <w:r w:rsidRPr="0000424F">
        <w:rPr>
          <w:rFonts w:cs="Calibri"/>
          <w:b/>
        </w:rPr>
        <w:t xml:space="preserve">Registrar </w:t>
      </w:r>
      <w:r w:rsidRPr="0000424F">
        <w:rPr>
          <w:rFonts w:cs="Calibri"/>
        </w:rPr>
        <w:t xml:space="preserve">means the Registrar (Common Law Case Management) </w:t>
      </w:r>
    </w:p>
    <w:p w:rsidR="00186FD5" w:rsidRPr="0000424F" w:rsidRDefault="00186FD5" w:rsidP="0001580E">
      <w:pPr>
        <w:spacing w:line="240" w:lineRule="auto"/>
        <w:ind w:left="720"/>
        <w:jc w:val="both"/>
        <w:rPr>
          <w:rFonts w:cs="Calibri"/>
        </w:rPr>
      </w:pPr>
      <w:r w:rsidRPr="0000424F">
        <w:rPr>
          <w:rFonts w:cs="Calibri"/>
          <w:b/>
        </w:rPr>
        <w:t xml:space="preserve">Duty Judge </w:t>
      </w:r>
      <w:r w:rsidRPr="0000424F">
        <w:rPr>
          <w:rFonts w:cs="Calibri"/>
        </w:rPr>
        <w:t>means the Judge appointed from time to time to be the Judge of the Common Law Duty List</w:t>
      </w:r>
    </w:p>
    <w:p w:rsidR="00186FD5" w:rsidRDefault="00186FD5" w:rsidP="0001580E">
      <w:pPr>
        <w:spacing w:line="240" w:lineRule="auto"/>
        <w:ind w:left="720"/>
        <w:jc w:val="both"/>
        <w:rPr>
          <w:rFonts w:cs="Calibri"/>
        </w:rPr>
      </w:pPr>
      <w:r w:rsidRPr="0000424F">
        <w:rPr>
          <w:rFonts w:cs="Calibri"/>
          <w:b/>
        </w:rPr>
        <w:t xml:space="preserve">Duty Registrar </w:t>
      </w:r>
      <w:r w:rsidRPr="0000424F">
        <w:rPr>
          <w:rFonts w:cs="Calibri"/>
        </w:rPr>
        <w:t>means a Registrar appointed by the Prothonotary to consider applications by parties and provide procedural advice and assistance to both practitioners and litigants in chambers on Level 5 of the Supreme Court.</w:t>
      </w:r>
    </w:p>
    <w:p w:rsidR="005D7615" w:rsidRPr="008D4C31" w:rsidRDefault="005D7615" w:rsidP="005D7615">
      <w:pPr>
        <w:ind w:left="720"/>
        <w:jc w:val="both"/>
      </w:pPr>
      <w:r w:rsidRPr="008D4C31">
        <w:rPr>
          <w:b/>
        </w:rPr>
        <w:t xml:space="preserve">List Judge </w:t>
      </w:r>
      <w:r w:rsidRPr="008D4C31">
        <w:t>means the judge appointed by the Chief Justice to be the List Judge for the Common Law Division.</w:t>
      </w:r>
    </w:p>
    <w:p w:rsidR="00186FD5" w:rsidRPr="0000424F" w:rsidRDefault="00186FD5" w:rsidP="0001580E">
      <w:pPr>
        <w:spacing w:line="240" w:lineRule="auto"/>
        <w:ind w:left="720"/>
        <w:jc w:val="both"/>
        <w:rPr>
          <w:rFonts w:cs="Calibri"/>
        </w:rPr>
      </w:pPr>
      <w:r w:rsidRPr="0000424F">
        <w:rPr>
          <w:rFonts w:cs="Calibri"/>
          <w:b/>
        </w:rPr>
        <w:t xml:space="preserve">UCPR </w:t>
      </w:r>
      <w:r w:rsidRPr="0000424F">
        <w:rPr>
          <w:rFonts w:cs="Calibri"/>
        </w:rPr>
        <w:t xml:space="preserve">means the </w:t>
      </w:r>
      <w:r w:rsidRPr="0000424F">
        <w:rPr>
          <w:rFonts w:cs="Calibri"/>
          <w:i/>
        </w:rPr>
        <w:t>U</w:t>
      </w:r>
      <w:r w:rsidR="005D7615">
        <w:rPr>
          <w:rFonts w:cs="Calibri"/>
          <w:i/>
        </w:rPr>
        <w:t>niform Civil Procedure Rules 200</w:t>
      </w:r>
      <w:r w:rsidRPr="0000424F">
        <w:rPr>
          <w:rFonts w:cs="Calibri"/>
          <w:i/>
        </w:rPr>
        <w:t>5</w:t>
      </w:r>
    </w:p>
    <w:p w:rsidR="00186FD5" w:rsidRPr="0000424F" w:rsidRDefault="00186FD5" w:rsidP="0001580E">
      <w:pPr>
        <w:spacing w:line="240" w:lineRule="auto"/>
        <w:ind w:left="720" w:hanging="720"/>
        <w:jc w:val="both"/>
        <w:rPr>
          <w:rFonts w:cs="Calibri"/>
          <w:b/>
        </w:rPr>
      </w:pPr>
      <w:r w:rsidRPr="0000424F">
        <w:rPr>
          <w:rFonts w:cs="Calibri"/>
          <w:b/>
        </w:rPr>
        <w:t xml:space="preserve">Introduction </w:t>
      </w:r>
    </w:p>
    <w:p w:rsidR="00186FD5" w:rsidRDefault="00186FD5" w:rsidP="0001580E">
      <w:pPr>
        <w:spacing w:line="240" w:lineRule="auto"/>
        <w:ind w:left="720" w:hanging="720"/>
        <w:jc w:val="both"/>
        <w:rPr>
          <w:rFonts w:cs="Calibri"/>
        </w:rPr>
      </w:pPr>
      <w:r w:rsidRPr="0000424F">
        <w:rPr>
          <w:rFonts w:cs="Calibri"/>
        </w:rPr>
        <w:t>5.</w:t>
      </w:r>
      <w:r w:rsidRPr="0000424F">
        <w:rPr>
          <w:rFonts w:cs="Calibri"/>
        </w:rPr>
        <w:tab/>
        <w:t xml:space="preserve">The purpose of this Practice Note is to </w:t>
      </w:r>
      <w:r w:rsidR="00154F83">
        <w:rPr>
          <w:rFonts w:cs="Calibri"/>
        </w:rPr>
        <w:t xml:space="preserve">outline </w:t>
      </w:r>
      <w:r w:rsidR="00154F83" w:rsidRPr="008D4C31">
        <w:t>the practice and procedure to be adopted in respect of Urgent Applications in the Common Law Division</w:t>
      </w:r>
      <w:r w:rsidRPr="0000424F">
        <w:rPr>
          <w:rFonts w:cs="Calibri"/>
        </w:rPr>
        <w:t>.</w:t>
      </w:r>
    </w:p>
    <w:p w:rsidR="00154F83" w:rsidRPr="00154F83" w:rsidRDefault="00154F83" w:rsidP="00154F83">
      <w:pPr>
        <w:spacing w:line="240" w:lineRule="auto"/>
        <w:ind w:left="720" w:hanging="720"/>
        <w:jc w:val="both"/>
        <w:rPr>
          <w:rFonts w:cs="Calibri"/>
        </w:rPr>
      </w:pPr>
      <w:r w:rsidRPr="00154F83">
        <w:rPr>
          <w:rFonts w:cs="Calibri"/>
        </w:rPr>
        <w:t>6.</w:t>
      </w:r>
      <w:r w:rsidRPr="00154F83">
        <w:rPr>
          <w:rFonts w:cs="Calibri"/>
        </w:rPr>
        <w:tab/>
        <w:t xml:space="preserve">Reference should also be made to the Common Law Division Practice Note SC CL 6 </w:t>
      </w:r>
      <w:r w:rsidR="00E403F1" w:rsidRPr="00154F83">
        <w:rPr>
          <w:rFonts w:cs="Calibri"/>
        </w:rPr>
        <w:t xml:space="preserve">for the Possession List </w:t>
      </w:r>
      <w:r w:rsidRPr="00154F83">
        <w:rPr>
          <w:rFonts w:cs="Calibri"/>
        </w:rPr>
        <w:t>and particularly paragraphs 29 to 36.</w:t>
      </w:r>
    </w:p>
    <w:p w:rsidR="00154F83" w:rsidRPr="008D4C31" w:rsidRDefault="00154F83" w:rsidP="00154F83">
      <w:pPr>
        <w:jc w:val="both"/>
        <w:rPr>
          <w:b/>
        </w:rPr>
      </w:pPr>
      <w:r w:rsidRPr="008D4C31">
        <w:rPr>
          <w:b/>
        </w:rPr>
        <w:t>Urgent Applications</w:t>
      </w:r>
    </w:p>
    <w:p w:rsidR="00154F83" w:rsidRPr="00154F83" w:rsidRDefault="00154F83" w:rsidP="00154F83">
      <w:pPr>
        <w:spacing w:line="240" w:lineRule="auto"/>
        <w:ind w:left="720" w:hanging="720"/>
        <w:jc w:val="both"/>
        <w:rPr>
          <w:rFonts w:cs="Calibri"/>
        </w:rPr>
      </w:pPr>
      <w:r w:rsidRPr="00154F83">
        <w:rPr>
          <w:rFonts w:cs="Calibri"/>
        </w:rPr>
        <w:t>7.</w:t>
      </w:r>
      <w:r w:rsidRPr="00154F83">
        <w:rPr>
          <w:rFonts w:cs="Calibri"/>
        </w:rPr>
        <w:tab/>
        <w:t>A Duty Judge is available to deal with urgent applications. Some urgent applications may be dealt with by a Duty Registrar, an Associate Judge or another Judge.</w:t>
      </w:r>
    </w:p>
    <w:p w:rsidR="00154F83" w:rsidRPr="00154F83" w:rsidRDefault="00154F83" w:rsidP="00154F83">
      <w:pPr>
        <w:spacing w:line="240" w:lineRule="auto"/>
        <w:ind w:left="720" w:hanging="720"/>
        <w:jc w:val="both"/>
        <w:rPr>
          <w:rFonts w:cs="Calibri"/>
        </w:rPr>
      </w:pPr>
      <w:r w:rsidRPr="00154F83">
        <w:rPr>
          <w:rFonts w:cs="Calibri"/>
        </w:rPr>
        <w:t>8.</w:t>
      </w:r>
      <w:r w:rsidRPr="00154F83">
        <w:rPr>
          <w:rFonts w:cs="Calibri"/>
        </w:rPr>
        <w:tab/>
        <w:t>Urgent applications in existing proceedings should be made by Motion, supported by an affidavit.</w:t>
      </w:r>
    </w:p>
    <w:p w:rsidR="00154F83" w:rsidRPr="00154F83" w:rsidRDefault="00154F83" w:rsidP="00154F83">
      <w:pPr>
        <w:spacing w:line="240" w:lineRule="auto"/>
        <w:ind w:left="720" w:hanging="720"/>
        <w:jc w:val="both"/>
        <w:rPr>
          <w:rFonts w:cs="Calibri"/>
        </w:rPr>
      </w:pPr>
      <w:r w:rsidRPr="00154F83">
        <w:rPr>
          <w:rFonts w:cs="Calibri"/>
        </w:rPr>
        <w:lastRenderedPageBreak/>
        <w:t>9.</w:t>
      </w:r>
      <w:r w:rsidRPr="00154F83">
        <w:rPr>
          <w:rFonts w:cs="Calibri"/>
        </w:rPr>
        <w:tab/>
        <w:t>Other than in exceptional circumstances, urgent applications may not be made by telephone.</w:t>
      </w:r>
    </w:p>
    <w:p w:rsidR="00154F83" w:rsidRPr="00154F83" w:rsidRDefault="00154F83" w:rsidP="00154F83">
      <w:pPr>
        <w:spacing w:line="240" w:lineRule="auto"/>
        <w:ind w:left="720" w:hanging="720"/>
        <w:jc w:val="both"/>
        <w:rPr>
          <w:rFonts w:cs="Calibri"/>
        </w:rPr>
      </w:pPr>
      <w:r w:rsidRPr="00154F83">
        <w:rPr>
          <w:rFonts w:cs="Calibri"/>
        </w:rPr>
        <w:t>10.</w:t>
      </w:r>
      <w:r w:rsidRPr="00154F83">
        <w:rPr>
          <w:rFonts w:cs="Calibri"/>
        </w:rPr>
        <w:tab/>
        <w:t>Urgent applications that are made in ordinary business hours must be reviewed by the rostered Duty Registrar before they are filed and before the Duty Judge is approached. The rostered Duty Registrar is available on Level 5 of the S</w:t>
      </w:r>
      <w:r w:rsidR="00E403F1">
        <w:rPr>
          <w:rFonts w:cs="Calibri"/>
        </w:rPr>
        <w:t>upreme Court building between 9:</w:t>
      </w:r>
      <w:r w:rsidRPr="00154F83">
        <w:rPr>
          <w:rFonts w:cs="Calibri"/>
        </w:rPr>
        <w:t>30</w:t>
      </w:r>
      <w:r w:rsidR="00E403F1">
        <w:rPr>
          <w:rFonts w:cs="Calibri"/>
        </w:rPr>
        <w:t> AM and 4:</w:t>
      </w:r>
      <w:r w:rsidRPr="00154F83">
        <w:rPr>
          <w:rFonts w:cs="Calibri"/>
        </w:rPr>
        <w:t>30</w:t>
      </w:r>
      <w:r w:rsidR="00E403F1">
        <w:rPr>
          <w:rFonts w:cs="Calibri"/>
        </w:rPr>
        <w:t> PM</w:t>
      </w:r>
      <w:r w:rsidRPr="00154F83">
        <w:rPr>
          <w:rFonts w:cs="Calibri"/>
        </w:rPr>
        <w:t xml:space="preserve"> Monday to Friday (excluding Public Holidays). Telephone calls seeking to make an urgent application during normal business hours will be referred to the rostered Duty Registrar to review and make appropriate directions.</w:t>
      </w:r>
    </w:p>
    <w:p w:rsidR="00154F83" w:rsidRPr="00154F83" w:rsidRDefault="00154F83" w:rsidP="00154F83">
      <w:pPr>
        <w:spacing w:line="240" w:lineRule="auto"/>
        <w:ind w:left="720" w:hanging="720"/>
        <w:jc w:val="both"/>
        <w:rPr>
          <w:rFonts w:cs="Calibri"/>
        </w:rPr>
      </w:pPr>
      <w:r w:rsidRPr="00154F83">
        <w:rPr>
          <w:rFonts w:cs="Calibri"/>
        </w:rPr>
        <w:t>11.</w:t>
      </w:r>
      <w:r w:rsidRPr="00154F83">
        <w:rPr>
          <w:rFonts w:cs="Calibri"/>
        </w:rPr>
        <w:tab/>
        <w:t>The rostered Duty Registrar may direct that relevant documents be filed and any fees paid before the matter is referred to a Judge.</w:t>
      </w:r>
    </w:p>
    <w:p w:rsidR="00154F83" w:rsidRPr="00154F83" w:rsidRDefault="00154F83" w:rsidP="00154F83">
      <w:pPr>
        <w:spacing w:line="240" w:lineRule="auto"/>
        <w:ind w:left="720" w:hanging="720"/>
        <w:jc w:val="both"/>
        <w:rPr>
          <w:rFonts w:cs="Calibri"/>
        </w:rPr>
      </w:pPr>
      <w:r w:rsidRPr="00154F83">
        <w:rPr>
          <w:rFonts w:cs="Calibri"/>
        </w:rPr>
        <w:t>12.</w:t>
      </w:r>
      <w:r w:rsidRPr="00154F83">
        <w:rPr>
          <w:rFonts w:cs="Calibri"/>
        </w:rPr>
        <w:tab/>
        <w:t>If the rostered Duty Registrar or the Duty Judge considers that the application is not urgent, it may be listed later before the Registrar or a Judge.</w:t>
      </w:r>
    </w:p>
    <w:p w:rsidR="00154F83" w:rsidRPr="00154F83" w:rsidRDefault="00154F83" w:rsidP="00154F83">
      <w:pPr>
        <w:spacing w:line="240" w:lineRule="auto"/>
        <w:ind w:left="720" w:hanging="720"/>
        <w:jc w:val="both"/>
        <w:rPr>
          <w:rFonts w:cs="Calibri"/>
        </w:rPr>
      </w:pPr>
      <w:r w:rsidRPr="00154F83">
        <w:rPr>
          <w:rFonts w:cs="Calibri"/>
        </w:rPr>
        <w:t>13.</w:t>
      </w:r>
      <w:r w:rsidRPr="00154F83">
        <w:rPr>
          <w:rFonts w:cs="Calibri"/>
        </w:rPr>
        <w:tab/>
        <w:t>Only if exceptional circumstances arise which require an urgent application to be made outside ordinary hours, may the application be made directly to the Duty Judge. Such an application must be made by contacting the Judge’s Associate through the Security Officer of the Supreme Court of New South Wales on the out-of-hours number published on the Court’s website.</w:t>
      </w:r>
    </w:p>
    <w:p w:rsidR="00154F83" w:rsidRPr="00154F83" w:rsidRDefault="00154F83" w:rsidP="00154F83">
      <w:pPr>
        <w:spacing w:line="240" w:lineRule="auto"/>
        <w:ind w:left="720" w:hanging="720"/>
        <w:jc w:val="both"/>
        <w:rPr>
          <w:rFonts w:cs="Calibri"/>
        </w:rPr>
      </w:pPr>
      <w:r w:rsidRPr="00154F83">
        <w:rPr>
          <w:rFonts w:cs="Calibri"/>
        </w:rPr>
        <w:t>14.</w:t>
      </w:r>
      <w:r w:rsidRPr="00154F83">
        <w:rPr>
          <w:rFonts w:cs="Calibri"/>
        </w:rPr>
        <w:tab/>
        <w:t>Parties who contact the Duty Judge’s Associate directly in other circumstances will be referred to the Duty Registrar.</w:t>
      </w:r>
    </w:p>
    <w:p w:rsidR="00154F83" w:rsidRPr="00154F83" w:rsidRDefault="00154F83" w:rsidP="00154F83">
      <w:pPr>
        <w:spacing w:line="240" w:lineRule="auto"/>
        <w:ind w:left="720" w:hanging="720"/>
        <w:jc w:val="both"/>
        <w:rPr>
          <w:rFonts w:cs="Calibri"/>
        </w:rPr>
      </w:pPr>
      <w:r w:rsidRPr="00154F83">
        <w:rPr>
          <w:rFonts w:cs="Calibri"/>
        </w:rPr>
        <w:t>15.</w:t>
      </w:r>
      <w:r w:rsidRPr="00154F83">
        <w:rPr>
          <w:rFonts w:cs="Calibri"/>
        </w:rPr>
        <w:tab/>
        <w:t>Parties who directly attend before the Duty Judge in Court will be referred to the Duty Registrar.</w:t>
      </w:r>
    </w:p>
    <w:p w:rsidR="00154F83" w:rsidRPr="00154F83" w:rsidRDefault="00154F83" w:rsidP="00154F83">
      <w:pPr>
        <w:spacing w:line="240" w:lineRule="auto"/>
        <w:ind w:left="720" w:hanging="720"/>
        <w:jc w:val="both"/>
        <w:rPr>
          <w:rFonts w:cs="Calibri"/>
        </w:rPr>
      </w:pPr>
      <w:r w:rsidRPr="00154F83">
        <w:rPr>
          <w:rFonts w:cs="Calibri"/>
        </w:rPr>
        <w:t>16.</w:t>
      </w:r>
      <w:r w:rsidRPr="00154F83">
        <w:rPr>
          <w:rFonts w:cs="Calibri"/>
        </w:rPr>
        <w:tab/>
        <w:t>The Duty Registrar will consider whether the application concerns existing proceedings; whether the application is urgent and ready to proceed; whether it can be dealt with by the Duty Registrar; or whether it must be referred to the Duty Judge or the List Judge.</w:t>
      </w:r>
    </w:p>
    <w:p w:rsidR="00154F83" w:rsidRPr="00154F83" w:rsidRDefault="00154F83" w:rsidP="00154F83">
      <w:pPr>
        <w:spacing w:line="240" w:lineRule="auto"/>
        <w:ind w:left="720" w:hanging="720"/>
        <w:jc w:val="both"/>
        <w:rPr>
          <w:rFonts w:cs="Calibri"/>
        </w:rPr>
      </w:pPr>
      <w:r w:rsidRPr="00154F83">
        <w:rPr>
          <w:rFonts w:cs="Calibri"/>
        </w:rPr>
        <w:t>17.</w:t>
      </w:r>
      <w:r w:rsidRPr="00154F83">
        <w:rPr>
          <w:rFonts w:cs="Calibri"/>
        </w:rPr>
        <w:tab/>
        <w:t>Matters dealt with by the Duty Judge will not usually be listed further in the Duty lis</w:t>
      </w:r>
      <w:r w:rsidR="00E403F1">
        <w:rPr>
          <w:rFonts w:cs="Calibri"/>
        </w:rPr>
        <w:t>t, if they will take more than two</w:t>
      </w:r>
      <w:r w:rsidRPr="00154F83">
        <w:rPr>
          <w:rFonts w:cs="Calibri"/>
        </w:rPr>
        <w:t xml:space="preserve"> hours to hear. In that event they will be referred to the List Judge or Registrar for allocation of a hearing date.</w:t>
      </w:r>
    </w:p>
    <w:p w:rsidR="00154F83" w:rsidRPr="00154F83" w:rsidRDefault="00154F83" w:rsidP="00154F83">
      <w:pPr>
        <w:spacing w:line="240" w:lineRule="auto"/>
        <w:ind w:left="720" w:hanging="720"/>
        <w:jc w:val="both"/>
        <w:rPr>
          <w:rFonts w:cs="Calibri"/>
        </w:rPr>
      </w:pPr>
      <w:r w:rsidRPr="00154F83">
        <w:rPr>
          <w:rFonts w:cs="Calibri"/>
        </w:rPr>
        <w:t>18.</w:t>
      </w:r>
      <w:r w:rsidRPr="00154F83">
        <w:rPr>
          <w:rFonts w:cs="Calibri"/>
        </w:rPr>
        <w:tab/>
        <w:t>Urgent applications for stays of writs in the Possession List will be dealt with as provided in the Possession List Practice Note.</w:t>
      </w:r>
    </w:p>
    <w:p w:rsidR="00154F83" w:rsidRPr="00154F83" w:rsidRDefault="00154F83" w:rsidP="00154F83">
      <w:pPr>
        <w:spacing w:line="240" w:lineRule="auto"/>
        <w:ind w:left="720" w:hanging="720"/>
        <w:jc w:val="both"/>
        <w:rPr>
          <w:rFonts w:cs="Calibri"/>
        </w:rPr>
      </w:pPr>
      <w:r w:rsidRPr="00154F83">
        <w:rPr>
          <w:rFonts w:cs="Calibri"/>
        </w:rPr>
        <w:t>19.</w:t>
      </w:r>
      <w:r w:rsidRPr="00154F83">
        <w:rPr>
          <w:rFonts w:cs="Calibri"/>
        </w:rPr>
        <w:tab/>
        <w:t>Ur</w:t>
      </w:r>
      <w:r w:rsidR="00E403F1">
        <w:rPr>
          <w:rFonts w:cs="Calibri"/>
        </w:rPr>
        <w:t>gent applications for Freezing Orders (also known as “</w:t>
      </w:r>
      <w:proofErr w:type="spellStart"/>
      <w:r w:rsidR="00E403F1">
        <w:rPr>
          <w:rFonts w:cs="Calibri"/>
        </w:rPr>
        <w:t>Mareva</w:t>
      </w:r>
      <w:proofErr w:type="spellEnd"/>
      <w:r w:rsidR="00E403F1">
        <w:rPr>
          <w:rFonts w:cs="Calibri"/>
        </w:rPr>
        <w:t xml:space="preserve"> O</w:t>
      </w:r>
      <w:r w:rsidRPr="00154F83">
        <w:rPr>
          <w:rFonts w:cs="Calibri"/>
        </w:rPr>
        <w:t>rders” or “</w:t>
      </w:r>
      <w:r w:rsidR="00E403F1" w:rsidRPr="00154F83">
        <w:rPr>
          <w:rFonts w:cs="Calibri"/>
        </w:rPr>
        <w:t>Asset Preservation Orders</w:t>
      </w:r>
      <w:r w:rsidRPr="00154F83">
        <w:rPr>
          <w:rFonts w:cs="Calibri"/>
        </w:rPr>
        <w:t>”) must be made in accordance with Pr</w:t>
      </w:r>
      <w:r w:rsidR="00E403F1">
        <w:rPr>
          <w:rFonts w:cs="Calibri"/>
        </w:rPr>
        <w:t>actice Note SC Gen 14 - Freezing O</w:t>
      </w:r>
      <w:r w:rsidRPr="00154F83">
        <w:rPr>
          <w:rFonts w:cs="Calibri"/>
        </w:rPr>
        <w:t>rders.</w:t>
      </w:r>
    </w:p>
    <w:p w:rsidR="00154F83" w:rsidRPr="008D4C31" w:rsidRDefault="00154F83" w:rsidP="00154F83">
      <w:pPr>
        <w:jc w:val="both"/>
        <w:rPr>
          <w:b/>
        </w:rPr>
      </w:pPr>
      <w:r w:rsidRPr="008D4C31">
        <w:rPr>
          <w:b/>
        </w:rPr>
        <w:t>Injunctive Relief</w:t>
      </w:r>
    </w:p>
    <w:p w:rsidR="00154F83" w:rsidRPr="00154F83" w:rsidRDefault="00154F83" w:rsidP="00154F83">
      <w:pPr>
        <w:spacing w:line="240" w:lineRule="auto"/>
        <w:ind w:left="720" w:hanging="720"/>
        <w:jc w:val="both"/>
        <w:rPr>
          <w:rFonts w:cs="Calibri"/>
        </w:rPr>
      </w:pPr>
      <w:r w:rsidRPr="00154F83">
        <w:rPr>
          <w:rFonts w:cs="Calibri"/>
        </w:rPr>
        <w:t>20.</w:t>
      </w:r>
      <w:r w:rsidRPr="00154F83">
        <w:rPr>
          <w:rFonts w:cs="Calibri"/>
        </w:rPr>
        <w:tab/>
        <w:t>Where applications for urgent injunctive relief are made, the Court expects the moving party to have sought agreement as to undertakings from the defendant(s) prior to making the application and unless special circumstances exist, to have notified the defendant(s) of the application.</w:t>
      </w:r>
    </w:p>
    <w:p w:rsidR="00154F83" w:rsidRPr="00154F83" w:rsidRDefault="00154F83" w:rsidP="00154F83">
      <w:pPr>
        <w:spacing w:line="240" w:lineRule="auto"/>
        <w:ind w:left="720" w:hanging="720"/>
        <w:jc w:val="both"/>
        <w:rPr>
          <w:rFonts w:cs="Calibri"/>
        </w:rPr>
      </w:pPr>
      <w:r w:rsidRPr="00154F83">
        <w:rPr>
          <w:rFonts w:cs="Calibri"/>
        </w:rPr>
        <w:t>21.</w:t>
      </w:r>
      <w:r w:rsidRPr="00154F83">
        <w:rPr>
          <w:rFonts w:cs="Calibri"/>
        </w:rPr>
        <w:tab/>
        <w:t>If the parties agree that the case warrants an urgent final hearing and are in a position to agree on an interim injunctive regime until the matter is determined, they should be ready to inform the Court of: an accurate estimate of the timeframe within which the matter will be ready for hearing; an accurate estimate of the time for the trial; and available dates for their respective counsel.</w:t>
      </w:r>
    </w:p>
    <w:p w:rsidR="00AA21F8" w:rsidRPr="0000424F" w:rsidRDefault="00AA21F8">
      <w:pPr>
        <w:spacing w:after="0" w:line="240" w:lineRule="auto"/>
        <w:rPr>
          <w:rFonts w:cs="Calibri"/>
          <w:b/>
        </w:rPr>
      </w:pPr>
    </w:p>
    <w:p w:rsidR="00AA21F8" w:rsidRPr="0000424F" w:rsidRDefault="00AA21F8">
      <w:pPr>
        <w:spacing w:after="0" w:line="240" w:lineRule="auto"/>
        <w:rPr>
          <w:rFonts w:cs="Calibri"/>
          <w:b/>
        </w:rPr>
      </w:pPr>
    </w:p>
    <w:p w:rsidR="00AA21F8" w:rsidRPr="0000424F" w:rsidRDefault="00AA21F8">
      <w:pPr>
        <w:spacing w:after="0" w:line="240" w:lineRule="auto"/>
        <w:rPr>
          <w:rFonts w:cs="Calibri"/>
          <w:b/>
        </w:rPr>
      </w:pPr>
    </w:p>
    <w:p w:rsidR="0000424F" w:rsidRPr="0000424F" w:rsidRDefault="00AA21F8">
      <w:pPr>
        <w:spacing w:after="0" w:line="240" w:lineRule="auto"/>
        <w:rPr>
          <w:rFonts w:cs="Calibri"/>
          <w:b/>
        </w:rPr>
      </w:pPr>
      <w:r w:rsidRPr="0000424F">
        <w:rPr>
          <w:rFonts w:cs="Calibri"/>
          <w:b/>
        </w:rPr>
        <w:t>T F BAT</w:t>
      </w:r>
      <w:r w:rsidR="0000424F" w:rsidRPr="0000424F">
        <w:rPr>
          <w:rFonts w:cs="Calibri"/>
          <w:b/>
        </w:rPr>
        <w:t>HURST AC</w:t>
      </w:r>
    </w:p>
    <w:p w:rsidR="0000424F" w:rsidRPr="0000424F" w:rsidRDefault="0000424F" w:rsidP="0000424F">
      <w:pPr>
        <w:spacing w:after="0" w:line="360" w:lineRule="auto"/>
        <w:rPr>
          <w:rFonts w:cs="Calibri"/>
        </w:rPr>
      </w:pPr>
      <w:r w:rsidRPr="0000424F">
        <w:rPr>
          <w:rFonts w:cs="Calibri"/>
        </w:rPr>
        <w:t>Chief Justice of New South Wales</w:t>
      </w:r>
    </w:p>
    <w:p w:rsidR="0000424F" w:rsidRPr="0000424F" w:rsidRDefault="00E45895">
      <w:pPr>
        <w:spacing w:after="0" w:line="240" w:lineRule="auto"/>
        <w:rPr>
          <w:rFonts w:cs="Calibri"/>
        </w:rPr>
      </w:pPr>
      <w:r>
        <w:rPr>
          <w:rFonts w:cs="Calibri"/>
        </w:rPr>
        <w:t>8 March 2019</w:t>
      </w:r>
    </w:p>
    <w:p w:rsidR="0000424F" w:rsidRPr="0000424F" w:rsidRDefault="0000424F">
      <w:pPr>
        <w:spacing w:after="0" w:line="240" w:lineRule="auto"/>
        <w:rPr>
          <w:rFonts w:cs="Calibri"/>
        </w:rPr>
      </w:pPr>
    </w:p>
    <w:p w:rsidR="0000424F" w:rsidRPr="0000424F" w:rsidRDefault="0000424F">
      <w:pPr>
        <w:spacing w:after="0" w:line="240" w:lineRule="auto"/>
        <w:rPr>
          <w:rFonts w:cs="Calibri"/>
        </w:rPr>
      </w:pPr>
    </w:p>
    <w:p w:rsidR="0000424F" w:rsidRPr="0000424F" w:rsidRDefault="0000424F">
      <w:pPr>
        <w:spacing w:after="0" w:line="240" w:lineRule="auto"/>
        <w:rPr>
          <w:rFonts w:cs="Calibri"/>
        </w:rPr>
      </w:pPr>
      <w:r w:rsidRPr="0000424F">
        <w:rPr>
          <w:rFonts w:cs="Calibri"/>
          <w:b/>
        </w:rPr>
        <w:t>Related Information:</w:t>
      </w:r>
    </w:p>
    <w:p w:rsidR="0033730B" w:rsidRPr="0033730B" w:rsidRDefault="0033730B" w:rsidP="0033730B">
      <w:pPr>
        <w:spacing w:after="0" w:line="240" w:lineRule="auto"/>
        <w:rPr>
          <w:rFonts w:asciiTheme="minorHAnsi" w:hAnsiTheme="minorHAnsi" w:cstheme="minorHAnsi"/>
          <w:color w:val="000000"/>
          <w:shd w:val="clear" w:color="auto" w:fill="FFFFFF"/>
        </w:rPr>
      </w:pPr>
      <w:r w:rsidRPr="0033730B">
        <w:rPr>
          <w:rFonts w:asciiTheme="minorHAnsi" w:hAnsiTheme="minorHAnsi" w:cstheme="minorHAnsi"/>
          <w:color w:val="000000"/>
          <w:shd w:val="clear" w:color="auto" w:fill="FFFFFF"/>
        </w:rPr>
        <w:t>Practice Note SC Gen 1 Supreme Court – Application of Practice Notes</w:t>
      </w:r>
    </w:p>
    <w:p w:rsidR="0033730B" w:rsidRPr="0033730B" w:rsidRDefault="0033730B" w:rsidP="0033730B">
      <w:pPr>
        <w:spacing w:after="0" w:line="240" w:lineRule="auto"/>
        <w:rPr>
          <w:rFonts w:asciiTheme="minorHAnsi" w:hAnsiTheme="minorHAnsi" w:cstheme="minorHAnsi"/>
          <w:color w:val="000000"/>
          <w:shd w:val="clear" w:color="auto" w:fill="FFFFFF"/>
        </w:rPr>
      </w:pPr>
      <w:r w:rsidRPr="0033730B">
        <w:rPr>
          <w:rFonts w:asciiTheme="minorHAnsi" w:hAnsiTheme="minorHAnsi" w:cstheme="minorHAnsi"/>
          <w:color w:val="000000"/>
          <w:shd w:val="clear" w:color="auto" w:fill="FFFFFF"/>
        </w:rPr>
        <w:t>Practice Note SC Gen 6 Supreme Court – Mediation</w:t>
      </w:r>
    </w:p>
    <w:p w:rsidR="0033730B" w:rsidRPr="0033730B" w:rsidRDefault="0033730B" w:rsidP="0033730B">
      <w:pPr>
        <w:spacing w:after="0" w:line="240" w:lineRule="auto"/>
        <w:rPr>
          <w:rFonts w:asciiTheme="minorHAnsi" w:hAnsiTheme="minorHAnsi" w:cstheme="minorHAnsi"/>
          <w:color w:val="000000"/>
          <w:shd w:val="clear" w:color="auto" w:fill="FFFFFF"/>
        </w:rPr>
      </w:pPr>
      <w:r w:rsidRPr="0033730B">
        <w:rPr>
          <w:rFonts w:asciiTheme="minorHAnsi" w:hAnsiTheme="minorHAnsi" w:cstheme="minorHAnsi"/>
          <w:color w:val="000000"/>
          <w:shd w:val="clear" w:color="auto" w:fill="FFFFFF"/>
        </w:rPr>
        <w:t>Practice Note SC Gen 14 Supreme Court – Freezing Orders (also known as ‘</w:t>
      </w:r>
      <w:proofErr w:type="spellStart"/>
      <w:r w:rsidRPr="0033730B">
        <w:rPr>
          <w:rFonts w:asciiTheme="minorHAnsi" w:hAnsiTheme="minorHAnsi" w:cstheme="minorHAnsi"/>
          <w:color w:val="000000"/>
          <w:shd w:val="clear" w:color="auto" w:fill="FFFFFF"/>
        </w:rPr>
        <w:t>Mareva</w:t>
      </w:r>
      <w:proofErr w:type="spellEnd"/>
      <w:r w:rsidRPr="0033730B">
        <w:rPr>
          <w:rFonts w:asciiTheme="minorHAnsi" w:hAnsiTheme="minorHAnsi" w:cstheme="minorHAnsi"/>
          <w:color w:val="000000"/>
          <w:shd w:val="clear" w:color="auto" w:fill="FFFFFF"/>
        </w:rPr>
        <w:t xml:space="preserve"> orders’ or ‘asset preservation orders’)</w:t>
      </w:r>
    </w:p>
    <w:p w:rsidR="0033730B" w:rsidRPr="0033730B" w:rsidRDefault="0033730B" w:rsidP="0033730B">
      <w:pPr>
        <w:spacing w:after="0" w:line="240" w:lineRule="auto"/>
        <w:rPr>
          <w:rFonts w:asciiTheme="minorHAnsi" w:hAnsiTheme="minorHAnsi" w:cstheme="minorHAnsi"/>
          <w:i/>
          <w:color w:val="000000"/>
          <w:shd w:val="clear" w:color="auto" w:fill="FFFFFF"/>
        </w:rPr>
      </w:pPr>
      <w:r w:rsidRPr="0033730B">
        <w:rPr>
          <w:rFonts w:asciiTheme="minorHAnsi" w:hAnsiTheme="minorHAnsi" w:cstheme="minorHAnsi"/>
          <w:i/>
          <w:color w:val="000000"/>
          <w:shd w:val="clear" w:color="auto" w:fill="FFFFFF"/>
        </w:rPr>
        <w:t>Civil Procedure Act 2005</w:t>
      </w:r>
    </w:p>
    <w:p w:rsidR="0033730B" w:rsidRPr="0033730B" w:rsidRDefault="0033730B" w:rsidP="0033730B">
      <w:pPr>
        <w:spacing w:after="0" w:line="240" w:lineRule="auto"/>
        <w:rPr>
          <w:rFonts w:asciiTheme="minorHAnsi" w:hAnsiTheme="minorHAnsi" w:cstheme="minorHAnsi"/>
          <w:i/>
          <w:color w:val="000000"/>
          <w:shd w:val="clear" w:color="auto" w:fill="FFFFFF"/>
        </w:rPr>
      </w:pPr>
      <w:r w:rsidRPr="0033730B">
        <w:rPr>
          <w:rFonts w:asciiTheme="minorHAnsi" w:hAnsiTheme="minorHAnsi" w:cstheme="minorHAnsi"/>
          <w:i/>
          <w:color w:val="000000"/>
          <w:shd w:val="clear" w:color="auto" w:fill="FFFFFF"/>
        </w:rPr>
        <w:t>Uniform Civil Procedure Rules 2005 </w:t>
      </w:r>
    </w:p>
    <w:p w:rsidR="0033730B" w:rsidRPr="00154F83" w:rsidRDefault="0033730B" w:rsidP="00154F83">
      <w:pPr>
        <w:spacing w:after="0" w:line="240" w:lineRule="auto"/>
        <w:rPr>
          <w:rFonts w:asciiTheme="minorHAnsi" w:hAnsiTheme="minorHAnsi" w:cstheme="minorHAnsi"/>
          <w:color w:val="000000"/>
          <w:shd w:val="clear" w:color="auto" w:fill="FFFFFF"/>
        </w:rPr>
      </w:pPr>
    </w:p>
    <w:p w:rsidR="0000424F" w:rsidRPr="0000424F" w:rsidRDefault="0000424F">
      <w:pPr>
        <w:spacing w:after="0" w:line="240" w:lineRule="auto"/>
        <w:rPr>
          <w:rFonts w:cs="Calibri"/>
        </w:rPr>
      </w:pPr>
    </w:p>
    <w:p w:rsidR="0000424F" w:rsidRPr="0000424F" w:rsidRDefault="0000424F">
      <w:pPr>
        <w:spacing w:after="0" w:line="240" w:lineRule="auto"/>
        <w:rPr>
          <w:rFonts w:cs="Calibri"/>
        </w:rPr>
      </w:pPr>
      <w:r w:rsidRPr="0000424F">
        <w:rPr>
          <w:rFonts w:cs="Calibri"/>
          <w:b/>
        </w:rPr>
        <w:t>Amendment History:</w:t>
      </w:r>
    </w:p>
    <w:p w:rsidR="003A4903" w:rsidRDefault="00E45895" w:rsidP="00E403F1">
      <w:pPr>
        <w:spacing w:after="0" w:line="240" w:lineRule="auto"/>
        <w:rPr>
          <w:rFonts w:cs="Calibri"/>
        </w:rPr>
      </w:pPr>
      <w:r>
        <w:rPr>
          <w:rFonts w:cs="Calibri"/>
        </w:rPr>
        <w:t>8 March 2019</w:t>
      </w:r>
      <w:r w:rsidR="003A4903">
        <w:rPr>
          <w:rFonts w:cs="Calibri"/>
        </w:rPr>
        <w:t>: This Practice Note replaces former Practice Note SC CL 5 which was issued on 18 May 2018.</w:t>
      </w:r>
    </w:p>
    <w:p w:rsidR="003A4903" w:rsidRDefault="003A4903" w:rsidP="00E403F1">
      <w:pPr>
        <w:spacing w:after="0" w:line="240" w:lineRule="auto"/>
        <w:rPr>
          <w:rFonts w:cs="Calibri"/>
        </w:rPr>
      </w:pPr>
    </w:p>
    <w:p w:rsidR="009C4215" w:rsidRDefault="009C4215" w:rsidP="00E403F1">
      <w:pPr>
        <w:spacing w:after="0" w:line="240" w:lineRule="auto"/>
        <w:rPr>
          <w:rFonts w:cs="Calibri"/>
        </w:rPr>
      </w:pPr>
      <w:r>
        <w:rPr>
          <w:rFonts w:cs="Calibri"/>
        </w:rPr>
        <w:t>18 Ma</w:t>
      </w:r>
      <w:bookmarkStart w:id="0" w:name="_GoBack"/>
      <w:bookmarkEnd w:id="0"/>
      <w:r>
        <w:rPr>
          <w:rFonts w:cs="Calibri"/>
        </w:rPr>
        <w:t>y 2018:  This Practice Note replaces former Practice Note SC CL 5 which was issued on 8 May 2018.</w:t>
      </w:r>
    </w:p>
    <w:p w:rsidR="009C4215" w:rsidRDefault="009C4215" w:rsidP="00E403F1">
      <w:pPr>
        <w:spacing w:after="0" w:line="240" w:lineRule="auto"/>
        <w:rPr>
          <w:rFonts w:cs="Calibri"/>
        </w:rPr>
      </w:pPr>
    </w:p>
    <w:p w:rsidR="0000424F" w:rsidRDefault="0033730B" w:rsidP="00E403F1">
      <w:pPr>
        <w:spacing w:after="0" w:line="240" w:lineRule="auto"/>
        <w:rPr>
          <w:rFonts w:cs="Calibri"/>
        </w:rPr>
      </w:pPr>
      <w:r>
        <w:rPr>
          <w:rFonts w:cs="Calibri"/>
        </w:rPr>
        <w:t>8</w:t>
      </w:r>
      <w:r w:rsidR="0000424F">
        <w:rPr>
          <w:rFonts w:cs="Calibri"/>
        </w:rPr>
        <w:t xml:space="preserve"> May 2018:  This Practice Note repla</w:t>
      </w:r>
      <w:r w:rsidR="00154F83">
        <w:rPr>
          <w:rFonts w:cs="Calibri"/>
        </w:rPr>
        <w:t>ces former Practice Note SC CL 5</w:t>
      </w:r>
      <w:r w:rsidR="0000424F">
        <w:rPr>
          <w:rFonts w:cs="Calibri"/>
        </w:rPr>
        <w:t xml:space="preserve"> which was issued on </w:t>
      </w:r>
      <w:r w:rsidR="00154F83">
        <w:rPr>
          <w:rFonts w:cs="Calibri"/>
        </w:rPr>
        <w:t>5</w:t>
      </w:r>
      <w:r w:rsidR="00E403F1">
        <w:rPr>
          <w:rFonts w:cs="Calibri"/>
        </w:rPr>
        <w:t> </w:t>
      </w:r>
      <w:r w:rsidR="00154F83">
        <w:rPr>
          <w:rFonts w:cs="Calibri"/>
        </w:rPr>
        <w:t>December 2006</w:t>
      </w:r>
      <w:r w:rsidR="00661C3A">
        <w:rPr>
          <w:rFonts w:cs="Calibri"/>
        </w:rPr>
        <w:t>.</w:t>
      </w:r>
    </w:p>
    <w:p w:rsidR="00E403F1" w:rsidRPr="0000424F" w:rsidRDefault="00E403F1" w:rsidP="00E403F1">
      <w:pPr>
        <w:spacing w:after="0" w:line="240" w:lineRule="auto"/>
        <w:rPr>
          <w:rFonts w:cs="Calibri"/>
        </w:rPr>
      </w:pPr>
    </w:p>
    <w:p w:rsidR="00154F83" w:rsidRDefault="00154F83" w:rsidP="00154F83">
      <w:pPr>
        <w:spacing w:after="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5 December 2006:  </w:t>
      </w:r>
      <w:r>
        <w:rPr>
          <w:rFonts w:cs="Calibri"/>
        </w:rPr>
        <w:t>Practice Note SC CL 5</w:t>
      </w:r>
      <w:r w:rsidRPr="00154F83">
        <w:rPr>
          <w:rFonts w:asciiTheme="minorHAnsi" w:hAnsiTheme="minorHAnsi" w:cstheme="minorHAnsi"/>
          <w:color w:val="000000"/>
          <w:shd w:val="clear" w:color="auto" w:fill="FFFFFF"/>
        </w:rPr>
        <w:t xml:space="preserve"> was issued on 5 December 2006 and commenced on 29</w:t>
      </w:r>
      <w:r w:rsidR="00E403F1">
        <w:rPr>
          <w:rFonts w:asciiTheme="minorHAnsi" w:hAnsiTheme="minorHAnsi" w:cstheme="minorHAnsi"/>
          <w:color w:val="000000"/>
          <w:shd w:val="clear" w:color="auto" w:fill="FFFFFF"/>
        </w:rPr>
        <w:t> </w:t>
      </w:r>
      <w:r w:rsidRPr="00154F83">
        <w:rPr>
          <w:rFonts w:asciiTheme="minorHAnsi" w:hAnsiTheme="minorHAnsi" w:cstheme="minorHAnsi"/>
          <w:color w:val="000000"/>
          <w:shd w:val="clear" w:color="auto" w:fill="FFFFFF"/>
        </w:rPr>
        <w:t>January 2007</w:t>
      </w:r>
      <w:r>
        <w:rPr>
          <w:rFonts w:asciiTheme="minorHAnsi" w:hAnsiTheme="minorHAnsi" w:cstheme="minorHAnsi"/>
          <w:color w:val="000000"/>
          <w:shd w:val="clear" w:color="auto" w:fill="FFFFFF"/>
        </w:rPr>
        <w:t>.</w:t>
      </w:r>
    </w:p>
    <w:p w:rsidR="00E403F1" w:rsidRDefault="00E403F1" w:rsidP="00154F83">
      <w:pPr>
        <w:spacing w:after="0" w:line="240" w:lineRule="auto"/>
        <w:rPr>
          <w:rFonts w:asciiTheme="minorHAnsi" w:hAnsiTheme="minorHAnsi" w:cstheme="minorHAnsi"/>
          <w:color w:val="000000"/>
          <w:shd w:val="clear" w:color="auto" w:fill="FFFFFF"/>
        </w:rPr>
      </w:pPr>
    </w:p>
    <w:p w:rsidR="00246097" w:rsidRPr="009C4215" w:rsidRDefault="00154F83" w:rsidP="0000424F">
      <w:pPr>
        <w:spacing w:after="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17 August 2005:  </w:t>
      </w:r>
      <w:r w:rsidRPr="00154F83">
        <w:rPr>
          <w:rFonts w:asciiTheme="minorHAnsi" w:hAnsiTheme="minorHAnsi" w:cstheme="minorHAnsi"/>
          <w:color w:val="000000"/>
          <w:shd w:val="clear" w:color="auto" w:fill="FFFFFF"/>
        </w:rPr>
        <w:t xml:space="preserve">Practice Note SC CL 5 </w:t>
      </w:r>
      <w:r>
        <w:rPr>
          <w:rFonts w:asciiTheme="minorHAnsi" w:hAnsiTheme="minorHAnsi" w:cstheme="minorHAnsi"/>
          <w:color w:val="000000"/>
          <w:shd w:val="clear" w:color="auto" w:fill="FFFFFF"/>
        </w:rPr>
        <w:t xml:space="preserve">was issued on 17 August 2005 and </w:t>
      </w:r>
      <w:r w:rsidRPr="00154F83">
        <w:rPr>
          <w:rFonts w:asciiTheme="minorHAnsi" w:hAnsiTheme="minorHAnsi" w:cstheme="minorHAnsi"/>
          <w:color w:val="000000"/>
          <w:shd w:val="clear" w:color="auto" w:fill="FFFFFF"/>
        </w:rPr>
        <w:t>re</w:t>
      </w:r>
      <w:r>
        <w:rPr>
          <w:rFonts w:asciiTheme="minorHAnsi" w:hAnsiTheme="minorHAnsi" w:cstheme="minorHAnsi"/>
          <w:color w:val="000000"/>
          <w:shd w:val="clear" w:color="auto" w:fill="FFFFFF"/>
        </w:rPr>
        <w:t>placed former Practice Note No.</w:t>
      </w:r>
      <w:r w:rsidRPr="00154F83">
        <w:rPr>
          <w:rFonts w:asciiTheme="minorHAnsi" w:hAnsiTheme="minorHAnsi" w:cstheme="minorHAnsi"/>
          <w:color w:val="000000"/>
          <w:shd w:val="clear" w:color="auto" w:fill="FFFFFF"/>
        </w:rPr>
        <w:t>128</w:t>
      </w:r>
      <w:r>
        <w:rPr>
          <w:rFonts w:asciiTheme="minorHAnsi" w:hAnsiTheme="minorHAnsi" w:cstheme="minorHAnsi"/>
          <w:color w:val="000000"/>
          <w:shd w:val="clear" w:color="auto" w:fill="FFFFFF"/>
        </w:rPr>
        <w:t>.</w:t>
      </w:r>
    </w:p>
    <w:sectPr w:rsidR="00246097" w:rsidRPr="009C4215" w:rsidSect="00186FD5">
      <w:headerReference w:type="default" r:id="rId8"/>
      <w:headerReference w:type="first" r:id="rId9"/>
      <w:pgSz w:w="11906" w:h="16838"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F83" w:rsidRDefault="00154F83" w:rsidP="00186FD5">
      <w:pPr>
        <w:spacing w:after="0" w:line="240" w:lineRule="auto"/>
      </w:pPr>
      <w:r>
        <w:separator/>
      </w:r>
    </w:p>
  </w:endnote>
  <w:endnote w:type="continuationSeparator" w:id="0">
    <w:p w:rsidR="00154F83" w:rsidRDefault="00154F83" w:rsidP="00186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F83" w:rsidRDefault="00154F83" w:rsidP="00186FD5">
      <w:pPr>
        <w:spacing w:after="0" w:line="240" w:lineRule="auto"/>
      </w:pPr>
      <w:r>
        <w:separator/>
      </w:r>
    </w:p>
  </w:footnote>
  <w:footnote w:type="continuationSeparator" w:id="0">
    <w:p w:rsidR="00154F83" w:rsidRDefault="00154F83" w:rsidP="00186F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F83" w:rsidRPr="00186FD5" w:rsidRDefault="00154F83" w:rsidP="00186FD5">
    <w:pPr>
      <w:pStyle w:val="Header"/>
      <w:tabs>
        <w:tab w:val="clear" w:pos="4513"/>
        <w:tab w:val="clear" w:pos="9026"/>
        <w:tab w:val="right" w:pos="9063"/>
      </w:tabs>
      <w:spacing w:after="0"/>
      <w:rPr>
        <w:rFonts w:cs="Calibri"/>
        <w:sz w:val="20"/>
      </w:rPr>
    </w:pPr>
    <w:r>
      <w:rPr>
        <w:rFonts w:cs="Calibri"/>
        <w:sz w:val="20"/>
      </w:rPr>
      <w:t xml:space="preserve">Practice Note CL 5 – </w:t>
    </w:r>
    <w:r w:rsidR="003A4903">
      <w:rPr>
        <w:rFonts w:cs="Calibri"/>
        <w:sz w:val="20"/>
      </w:rPr>
      <w:t>Urgent Matters in the Common Law Division</w:t>
    </w:r>
    <w:r w:rsidRPr="00186FD5">
      <w:rPr>
        <w:rFonts w:cs="Calibri"/>
        <w:sz w:val="20"/>
      </w:rPr>
      <w:tab/>
      <w:t xml:space="preserve">Page </w:t>
    </w:r>
    <w:r w:rsidRPr="00186FD5">
      <w:rPr>
        <w:rFonts w:cs="Calibri"/>
        <w:sz w:val="20"/>
      </w:rPr>
      <w:fldChar w:fldCharType="begin"/>
    </w:r>
    <w:r w:rsidRPr="00186FD5">
      <w:rPr>
        <w:rFonts w:cs="Calibri"/>
        <w:sz w:val="20"/>
      </w:rPr>
      <w:instrText xml:space="preserve"> PAGE </w:instrText>
    </w:r>
    <w:r w:rsidRPr="00186FD5">
      <w:rPr>
        <w:rFonts w:cs="Calibri"/>
        <w:sz w:val="20"/>
      </w:rPr>
      <w:fldChar w:fldCharType="separate"/>
    </w:r>
    <w:r w:rsidR="00E45895">
      <w:rPr>
        <w:rFonts w:cs="Calibri"/>
        <w:noProof/>
        <w:sz w:val="20"/>
      </w:rPr>
      <w:t>3</w:t>
    </w:r>
    <w:r w:rsidRPr="00186FD5">
      <w:rPr>
        <w:rFonts w:cs="Calibri"/>
        <w:sz w:val="20"/>
      </w:rPr>
      <w:fldChar w:fldCharType="end"/>
    </w:r>
    <w:r w:rsidRPr="00186FD5">
      <w:rPr>
        <w:rFonts w:cs="Calibri"/>
        <w:sz w:val="20"/>
      </w:rPr>
      <w:t xml:space="preserve"> of </w:t>
    </w:r>
    <w:r w:rsidRPr="00186FD5">
      <w:rPr>
        <w:rFonts w:cs="Calibri"/>
        <w:sz w:val="20"/>
      </w:rPr>
      <w:fldChar w:fldCharType="begin"/>
    </w:r>
    <w:r w:rsidRPr="00186FD5">
      <w:rPr>
        <w:rFonts w:cs="Calibri"/>
        <w:sz w:val="20"/>
      </w:rPr>
      <w:instrText xml:space="preserve"> NUMPAGES </w:instrText>
    </w:r>
    <w:r w:rsidRPr="00186FD5">
      <w:rPr>
        <w:rFonts w:cs="Calibri"/>
        <w:sz w:val="20"/>
      </w:rPr>
      <w:fldChar w:fldCharType="separate"/>
    </w:r>
    <w:r w:rsidR="00E45895">
      <w:rPr>
        <w:rFonts w:cs="Calibri"/>
        <w:noProof/>
        <w:sz w:val="20"/>
      </w:rPr>
      <w:t>3</w:t>
    </w:r>
    <w:r w:rsidRPr="00186FD5">
      <w:rPr>
        <w:rFonts w:cs="Calibri"/>
        <w:sz w:val="20"/>
      </w:rPr>
      <w:fldChar w:fldCharType="end"/>
    </w:r>
  </w:p>
  <w:p w:rsidR="00154F83" w:rsidRPr="00186FD5" w:rsidRDefault="00154F83" w:rsidP="00186FD5">
    <w:pPr>
      <w:pStyle w:val="Header"/>
      <w:pBdr>
        <w:bottom w:val="single" w:sz="4" w:space="1" w:color="auto"/>
      </w:pBdr>
      <w:tabs>
        <w:tab w:val="right" w:pos="9063"/>
      </w:tabs>
      <w:spacing w:after="0"/>
      <w:rPr>
        <w:rFonts w:cs="Calibri"/>
        <w:sz w:val="20"/>
      </w:rPr>
    </w:pPr>
  </w:p>
  <w:p w:rsidR="00154F83" w:rsidRPr="00186FD5" w:rsidRDefault="00154F83" w:rsidP="00186FD5">
    <w:pPr>
      <w:pStyle w:val="Header"/>
      <w:tabs>
        <w:tab w:val="right" w:pos="9063"/>
      </w:tabs>
      <w:spacing w:after="0"/>
      <w:rPr>
        <w:rFonts w:cs="Calibri"/>
        <w:sz w:val="20"/>
      </w:rPr>
    </w:pPr>
  </w:p>
  <w:p w:rsidR="00154F83" w:rsidRPr="00186FD5" w:rsidRDefault="00154F83" w:rsidP="00186FD5">
    <w:pPr>
      <w:pStyle w:val="Header"/>
      <w:tabs>
        <w:tab w:val="right" w:pos="9063"/>
      </w:tabs>
      <w:spacing w:after="0"/>
      <w:rPr>
        <w:rFonts w:cs="Calibri"/>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F83" w:rsidRDefault="00154F83" w:rsidP="00186FD5">
    <w:pPr>
      <w:pStyle w:val="Header"/>
      <w:tabs>
        <w:tab w:val="clear" w:pos="4513"/>
        <w:tab w:val="clear" w:pos="9026"/>
        <w:tab w:val="right" w:pos="9639"/>
      </w:tabs>
      <w:spacing w:after="0"/>
      <w:jc w:val="center"/>
      <w:rPr>
        <w:rFonts w:ascii="Arial" w:eastAsia="Arial" w:hAnsi="Arial" w:cs="Arial"/>
        <w:b/>
        <w:bCs/>
        <w:color w:val="EF493F"/>
        <w:sz w:val="21"/>
        <w:szCs w:val="21"/>
      </w:rPr>
    </w:pPr>
    <w:r>
      <w:rPr>
        <w:noProof/>
        <w:lang w:eastAsia="en-AU"/>
      </w:rPr>
      <w:drawing>
        <wp:inline distT="0" distB="0" distL="0" distR="0">
          <wp:extent cx="1111250" cy="97790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977900"/>
                  </a:xfrm>
                  <a:prstGeom prst="rect">
                    <a:avLst/>
                  </a:prstGeom>
                  <a:noFill/>
                  <a:ln>
                    <a:noFill/>
                  </a:ln>
                </pic:spPr>
              </pic:pic>
            </a:graphicData>
          </a:graphic>
        </wp:inline>
      </w:drawing>
    </w:r>
  </w:p>
  <w:p w:rsidR="00154F83" w:rsidRDefault="00154F83" w:rsidP="00186FD5">
    <w:pPr>
      <w:pStyle w:val="Header"/>
      <w:spacing w:after="0"/>
      <w:jc w:val="center"/>
      <w:rPr>
        <w:rFonts w:ascii="Arial" w:eastAsia="Arial" w:hAnsi="Arial" w:cs="Arial"/>
        <w:sz w:val="21"/>
        <w:szCs w:val="21"/>
      </w:rPr>
    </w:pPr>
    <w:r>
      <w:rPr>
        <w:rFonts w:ascii="Arial" w:eastAsia="Arial" w:hAnsi="Arial" w:cs="Arial"/>
        <w:b/>
        <w:bCs/>
        <w:color w:val="EF493F"/>
        <w:sz w:val="21"/>
        <w:szCs w:val="21"/>
      </w:rPr>
      <w:t>New</w:t>
    </w:r>
    <w:r>
      <w:rPr>
        <w:rFonts w:ascii="Arial" w:eastAsia="Arial" w:hAnsi="Arial" w:cs="Arial"/>
        <w:b/>
        <w:bCs/>
        <w:color w:val="EF493F"/>
        <w:spacing w:val="19"/>
        <w:sz w:val="21"/>
        <w:szCs w:val="21"/>
      </w:rPr>
      <w:t xml:space="preserve"> </w:t>
    </w:r>
    <w:r>
      <w:rPr>
        <w:rFonts w:ascii="Arial" w:eastAsia="Arial" w:hAnsi="Arial" w:cs="Arial"/>
        <w:b/>
        <w:bCs/>
        <w:color w:val="EF493F"/>
        <w:sz w:val="21"/>
        <w:szCs w:val="21"/>
      </w:rPr>
      <w:t>South</w:t>
    </w:r>
    <w:r>
      <w:rPr>
        <w:rFonts w:ascii="Arial" w:eastAsia="Arial" w:hAnsi="Arial" w:cs="Arial"/>
        <w:b/>
        <w:bCs/>
        <w:color w:val="EF493F"/>
        <w:spacing w:val="24"/>
        <w:sz w:val="21"/>
        <w:szCs w:val="21"/>
      </w:rPr>
      <w:t xml:space="preserve"> </w:t>
    </w:r>
    <w:r>
      <w:rPr>
        <w:rFonts w:ascii="Arial" w:eastAsia="Arial" w:hAnsi="Arial" w:cs="Arial"/>
        <w:b/>
        <w:bCs/>
        <w:color w:val="EF493F"/>
        <w:w w:val="102"/>
        <w:sz w:val="21"/>
        <w:szCs w:val="21"/>
      </w:rPr>
      <w:t>Wales</w:t>
    </w:r>
  </w:p>
  <w:p w:rsidR="00154F83" w:rsidRDefault="00154F83" w:rsidP="00186FD5">
    <w:pPr>
      <w:pStyle w:val="Header"/>
      <w:tabs>
        <w:tab w:val="clear" w:pos="4513"/>
      </w:tabs>
      <w:spacing w:after="0"/>
      <w:jc w:val="center"/>
    </w:pPr>
  </w:p>
  <w:p w:rsidR="00154F83" w:rsidRDefault="00154F83" w:rsidP="00186FD5">
    <w:pPr>
      <w:pStyle w:val="Header"/>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20F4B"/>
    <w:multiLevelType w:val="hybridMultilevel"/>
    <w:tmpl w:val="CA4AEB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3BA728FF"/>
    <w:multiLevelType w:val="hybridMultilevel"/>
    <w:tmpl w:val="E5E29EA0"/>
    <w:lvl w:ilvl="0" w:tplc="0C090001">
      <w:start w:val="1"/>
      <w:numFmt w:val="bullet"/>
      <w:lvlText w:val=""/>
      <w:lvlJc w:val="left"/>
      <w:pPr>
        <w:ind w:left="1287" w:hanging="360"/>
      </w:pPr>
      <w:rPr>
        <w:rFonts w:ascii="Symbol" w:hAnsi="Symbol"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D5"/>
    <w:rsid w:val="0000424F"/>
    <w:rsid w:val="00013DD4"/>
    <w:rsid w:val="0001580E"/>
    <w:rsid w:val="00154F83"/>
    <w:rsid w:val="00186FD5"/>
    <w:rsid w:val="00246097"/>
    <w:rsid w:val="00293269"/>
    <w:rsid w:val="0033730B"/>
    <w:rsid w:val="00380D03"/>
    <w:rsid w:val="003A4903"/>
    <w:rsid w:val="004E76FB"/>
    <w:rsid w:val="005D7615"/>
    <w:rsid w:val="00661C3A"/>
    <w:rsid w:val="006B6742"/>
    <w:rsid w:val="00765387"/>
    <w:rsid w:val="008A45A4"/>
    <w:rsid w:val="009C4215"/>
    <w:rsid w:val="00AA21F8"/>
    <w:rsid w:val="00B113E1"/>
    <w:rsid w:val="00BD4357"/>
    <w:rsid w:val="00E133F3"/>
    <w:rsid w:val="00E403F1"/>
    <w:rsid w:val="00E45895"/>
    <w:rsid w:val="00EE2C53"/>
    <w:rsid w:val="00F276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Arial"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FD5"/>
    <w:pPr>
      <w:spacing w:after="200" w:line="276" w:lineRule="auto"/>
    </w:pPr>
    <w:rPr>
      <w:rFonts w:eastAsia="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A45A4"/>
    <w:pPr>
      <w:framePr w:w="7920" w:h="1980" w:hRule="exact" w:hSpace="180" w:wrap="auto" w:hAnchor="page" w:xAlign="center" w:yAlign="bottom"/>
      <w:ind w:left="2880"/>
    </w:pPr>
    <w:rPr>
      <w:rFonts w:eastAsia="Times New Roman"/>
      <w:sz w:val="24"/>
      <w:szCs w:val="24"/>
    </w:rPr>
  </w:style>
  <w:style w:type="paragraph" w:styleId="EnvelopeReturn">
    <w:name w:val="envelope return"/>
    <w:basedOn w:val="Normal"/>
    <w:uiPriority w:val="99"/>
    <w:semiHidden/>
    <w:unhideWhenUsed/>
    <w:rsid w:val="008A45A4"/>
    <w:rPr>
      <w:rFonts w:eastAsia="Times New Roman"/>
      <w:i/>
      <w:sz w:val="16"/>
      <w:szCs w:val="20"/>
    </w:rPr>
  </w:style>
  <w:style w:type="paragraph" w:styleId="BodyText">
    <w:name w:val="Body Text"/>
    <w:basedOn w:val="Normal"/>
    <w:link w:val="BodyTextChar"/>
    <w:autoRedefine/>
    <w:uiPriority w:val="1"/>
    <w:qFormat/>
    <w:rsid w:val="00BD4357"/>
    <w:rPr>
      <w:szCs w:val="16"/>
    </w:rPr>
  </w:style>
  <w:style w:type="character" w:customStyle="1" w:styleId="BodyTextChar">
    <w:name w:val="Body Text Char"/>
    <w:link w:val="BodyText"/>
    <w:uiPriority w:val="1"/>
    <w:rsid w:val="00BD4357"/>
    <w:rPr>
      <w:rFonts w:ascii="Calibri" w:eastAsia="Arial" w:hAnsi="Calibri" w:cs="Arial"/>
      <w:szCs w:val="16"/>
    </w:rPr>
  </w:style>
  <w:style w:type="paragraph" w:styleId="Header">
    <w:name w:val="header"/>
    <w:basedOn w:val="Normal"/>
    <w:link w:val="HeaderChar"/>
    <w:unhideWhenUsed/>
    <w:rsid w:val="00186FD5"/>
    <w:pPr>
      <w:tabs>
        <w:tab w:val="center" w:pos="4513"/>
        <w:tab w:val="right" w:pos="9026"/>
      </w:tabs>
    </w:pPr>
  </w:style>
  <w:style w:type="character" w:customStyle="1" w:styleId="HeaderChar">
    <w:name w:val="Header Char"/>
    <w:basedOn w:val="DefaultParagraphFont"/>
    <w:link w:val="Header"/>
    <w:rsid w:val="00186FD5"/>
    <w:rPr>
      <w:rFonts w:cs="Arial"/>
      <w:sz w:val="22"/>
      <w:szCs w:val="22"/>
      <w:lang w:eastAsia="en-US"/>
    </w:rPr>
  </w:style>
  <w:style w:type="paragraph" w:styleId="Footer">
    <w:name w:val="footer"/>
    <w:basedOn w:val="Normal"/>
    <w:link w:val="FooterChar"/>
    <w:uiPriority w:val="99"/>
    <w:unhideWhenUsed/>
    <w:rsid w:val="00186FD5"/>
    <w:pPr>
      <w:tabs>
        <w:tab w:val="center" w:pos="4513"/>
        <w:tab w:val="right" w:pos="9026"/>
      </w:tabs>
    </w:pPr>
  </w:style>
  <w:style w:type="character" w:customStyle="1" w:styleId="FooterChar">
    <w:name w:val="Footer Char"/>
    <w:basedOn w:val="DefaultParagraphFont"/>
    <w:link w:val="Footer"/>
    <w:uiPriority w:val="99"/>
    <w:rsid w:val="00186FD5"/>
    <w:rPr>
      <w:rFonts w:cs="Arial"/>
      <w:sz w:val="22"/>
      <w:szCs w:val="22"/>
      <w:lang w:eastAsia="en-US"/>
    </w:rPr>
  </w:style>
  <w:style w:type="paragraph" w:styleId="BalloonText">
    <w:name w:val="Balloon Text"/>
    <w:basedOn w:val="Normal"/>
    <w:link w:val="BalloonTextChar"/>
    <w:uiPriority w:val="99"/>
    <w:semiHidden/>
    <w:unhideWhenUsed/>
    <w:rsid w:val="00015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80E"/>
    <w:rPr>
      <w:rFonts w:ascii="Tahoma" w:eastAsia="Calibri" w:hAnsi="Tahoma" w:cs="Tahoma"/>
      <w:sz w:val="16"/>
      <w:szCs w:val="16"/>
      <w:lang w:eastAsia="en-US"/>
    </w:rPr>
  </w:style>
  <w:style w:type="character" w:styleId="Hyperlink">
    <w:name w:val="Hyperlink"/>
    <w:basedOn w:val="DefaultParagraphFont"/>
    <w:uiPriority w:val="99"/>
    <w:unhideWhenUsed/>
    <w:rsid w:val="0001580E"/>
    <w:rPr>
      <w:color w:val="0000FF" w:themeColor="hyperlink"/>
      <w:u w:val="single"/>
    </w:rPr>
  </w:style>
  <w:style w:type="character" w:customStyle="1" w:styleId="apple-converted-space">
    <w:name w:val="apple-converted-space"/>
    <w:basedOn w:val="DefaultParagraphFont"/>
    <w:rsid w:val="00154F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Arial"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FD5"/>
    <w:pPr>
      <w:spacing w:after="200" w:line="276" w:lineRule="auto"/>
    </w:pPr>
    <w:rPr>
      <w:rFonts w:eastAsia="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A45A4"/>
    <w:pPr>
      <w:framePr w:w="7920" w:h="1980" w:hRule="exact" w:hSpace="180" w:wrap="auto" w:hAnchor="page" w:xAlign="center" w:yAlign="bottom"/>
      <w:ind w:left="2880"/>
    </w:pPr>
    <w:rPr>
      <w:rFonts w:eastAsia="Times New Roman"/>
      <w:sz w:val="24"/>
      <w:szCs w:val="24"/>
    </w:rPr>
  </w:style>
  <w:style w:type="paragraph" w:styleId="EnvelopeReturn">
    <w:name w:val="envelope return"/>
    <w:basedOn w:val="Normal"/>
    <w:uiPriority w:val="99"/>
    <w:semiHidden/>
    <w:unhideWhenUsed/>
    <w:rsid w:val="008A45A4"/>
    <w:rPr>
      <w:rFonts w:eastAsia="Times New Roman"/>
      <w:i/>
      <w:sz w:val="16"/>
      <w:szCs w:val="20"/>
    </w:rPr>
  </w:style>
  <w:style w:type="paragraph" w:styleId="BodyText">
    <w:name w:val="Body Text"/>
    <w:basedOn w:val="Normal"/>
    <w:link w:val="BodyTextChar"/>
    <w:autoRedefine/>
    <w:uiPriority w:val="1"/>
    <w:qFormat/>
    <w:rsid w:val="00BD4357"/>
    <w:rPr>
      <w:szCs w:val="16"/>
    </w:rPr>
  </w:style>
  <w:style w:type="character" w:customStyle="1" w:styleId="BodyTextChar">
    <w:name w:val="Body Text Char"/>
    <w:link w:val="BodyText"/>
    <w:uiPriority w:val="1"/>
    <w:rsid w:val="00BD4357"/>
    <w:rPr>
      <w:rFonts w:ascii="Calibri" w:eastAsia="Arial" w:hAnsi="Calibri" w:cs="Arial"/>
      <w:szCs w:val="16"/>
    </w:rPr>
  </w:style>
  <w:style w:type="paragraph" w:styleId="Header">
    <w:name w:val="header"/>
    <w:basedOn w:val="Normal"/>
    <w:link w:val="HeaderChar"/>
    <w:unhideWhenUsed/>
    <w:rsid w:val="00186FD5"/>
    <w:pPr>
      <w:tabs>
        <w:tab w:val="center" w:pos="4513"/>
        <w:tab w:val="right" w:pos="9026"/>
      </w:tabs>
    </w:pPr>
  </w:style>
  <w:style w:type="character" w:customStyle="1" w:styleId="HeaderChar">
    <w:name w:val="Header Char"/>
    <w:basedOn w:val="DefaultParagraphFont"/>
    <w:link w:val="Header"/>
    <w:rsid w:val="00186FD5"/>
    <w:rPr>
      <w:rFonts w:cs="Arial"/>
      <w:sz w:val="22"/>
      <w:szCs w:val="22"/>
      <w:lang w:eastAsia="en-US"/>
    </w:rPr>
  </w:style>
  <w:style w:type="paragraph" w:styleId="Footer">
    <w:name w:val="footer"/>
    <w:basedOn w:val="Normal"/>
    <w:link w:val="FooterChar"/>
    <w:uiPriority w:val="99"/>
    <w:unhideWhenUsed/>
    <w:rsid w:val="00186FD5"/>
    <w:pPr>
      <w:tabs>
        <w:tab w:val="center" w:pos="4513"/>
        <w:tab w:val="right" w:pos="9026"/>
      </w:tabs>
    </w:pPr>
  </w:style>
  <w:style w:type="character" w:customStyle="1" w:styleId="FooterChar">
    <w:name w:val="Footer Char"/>
    <w:basedOn w:val="DefaultParagraphFont"/>
    <w:link w:val="Footer"/>
    <w:uiPriority w:val="99"/>
    <w:rsid w:val="00186FD5"/>
    <w:rPr>
      <w:rFonts w:cs="Arial"/>
      <w:sz w:val="22"/>
      <w:szCs w:val="22"/>
      <w:lang w:eastAsia="en-US"/>
    </w:rPr>
  </w:style>
  <w:style w:type="paragraph" w:styleId="BalloonText">
    <w:name w:val="Balloon Text"/>
    <w:basedOn w:val="Normal"/>
    <w:link w:val="BalloonTextChar"/>
    <w:uiPriority w:val="99"/>
    <w:semiHidden/>
    <w:unhideWhenUsed/>
    <w:rsid w:val="00015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80E"/>
    <w:rPr>
      <w:rFonts w:ascii="Tahoma" w:eastAsia="Calibri" w:hAnsi="Tahoma" w:cs="Tahoma"/>
      <w:sz w:val="16"/>
      <w:szCs w:val="16"/>
      <w:lang w:eastAsia="en-US"/>
    </w:rPr>
  </w:style>
  <w:style w:type="character" w:styleId="Hyperlink">
    <w:name w:val="Hyperlink"/>
    <w:basedOn w:val="DefaultParagraphFont"/>
    <w:uiPriority w:val="99"/>
    <w:unhideWhenUsed/>
    <w:rsid w:val="0001580E"/>
    <w:rPr>
      <w:color w:val="0000FF" w:themeColor="hyperlink"/>
      <w:u w:val="single"/>
    </w:rPr>
  </w:style>
  <w:style w:type="character" w:customStyle="1" w:styleId="apple-converted-space">
    <w:name w:val="apple-converted-space"/>
    <w:basedOn w:val="DefaultParagraphFont"/>
    <w:rsid w:val="00154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8720">
      <w:bodyDiv w:val="1"/>
      <w:marLeft w:val="0"/>
      <w:marRight w:val="0"/>
      <w:marTop w:val="0"/>
      <w:marBottom w:val="0"/>
      <w:divBdr>
        <w:top w:val="none" w:sz="0" w:space="0" w:color="auto"/>
        <w:left w:val="none" w:sz="0" w:space="0" w:color="auto"/>
        <w:bottom w:val="none" w:sz="0" w:space="0" w:color="auto"/>
        <w:right w:val="none" w:sz="0" w:space="0" w:color="auto"/>
      </w:divBdr>
    </w:div>
    <w:div w:id="76777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7E9F76F8.dotm</Template>
  <TotalTime>5</TotalTime>
  <Pages>3</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Bradshaw</dc:creator>
  <cp:lastModifiedBy>Victoria Bradshaw</cp:lastModifiedBy>
  <cp:revision>3</cp:revision>
  <cp:lastPrinted>2019-03-07T23:24:00Z</cp:lastPrinted>
  <dcterms:created xsi:type="dcterms:W3CDTF">2019-03-07T23:22:00Z</dcterms:created>
  <dcterms:modified xsi:type="dcterms:W3CDTF">2019-03-07T23:25:00Z</dcterms:modified>
</cp:coreProperties>
</file>